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Pricing — Anchored to ROI, Replicable from Goodlettsville to Shelby County</w:t>
      </w:r>
    </w:p>
    <w:p>
      <w:pPr>
        <w:pStyle w:val="Author"/>
      </w:pPr>
      <w:r>
        <w:t xml:space="preserve">Civvix Inc.</w:t>
      </w:r>
    </w:p>
    <w:p>
      <w:pPr>
        <w:pStyle w:val="Date"/>
      </w:pPr>
      <w:r>
        <w:t xml:space="preserve">September 2026</w:t>
      </w:r>
    </w:p>
    <w:bookmarkStart w:id="20" w:name="the-unit-of-value"/>
    <w:p>
      <w:pPr>
        <w:pStyle w:val="Heading2"/>
      </w:pPr>
      <w:r>
        <w:t xml:space="preserve">The unit of value</w:t>
      </w:r>
    </w:p>
    <w:p>
      <w:pPr>
        <w:pStyle w:val="FirstParagraph"/>
      </w:pPr>
      <w:r>
        <w:t xml:space="preserve">A situs correction is not a lead. Wilson County and its school department booked $61.8M in local</w:t>
      </w:r>
      <w:r>
        <w:t xml:space="preserve"> </w:t>
      </w:r>
      <w:r>
        <w:t xml:space="preserve">option sales tax last year across roughly 3,600 named businesses — about $17,000 per business, heavily</w:t>
      </w:r>
      <w:r>
        <w:t xml:space="preserve"> </w:t>
      </w:r>
      <w:r>
        <w:t xml:space="preserve">skewed toward retail and fuel. One cross-county correction therefore moves</w:t>
      </w:r>
      <w:r>
        <w:t xml:space="preserve"> </w:t>
      </w:r>
      <w:r>
        <w:rPr>
          <w:bCs/>
          <w:b/>
        </w:rPr>
        <w:t xml:space="preserve">on the order of $17,000</w:t>
      </w:r>
      <w:r>
        <w:rPr>
          <w:bCs/>
          <w:b/>
        </w:rPr>
        <w:t xml:space="preserve"> </w:t>
      </w:r>
      <w:r>
        <w:rPr>
          <w:bCs/>
          <w:b/>
        </w:rPr>
        <w:t xml:space="preserve">a year, every year, forever</w:t>
      </w:r>
      <w:r>
        <w:t xml:space="preserve">, plus one year back. A single grocery or truck stop is $50–150K a year.</w:t>
      </w:r>
      <w:r>
        <w:t xml:space="preserve"> </w:t>
      </w:r>
      <w:r>
        <w:t xml:space="preserve">Civvix’s TPP lead is priced at $10 because a lead is worth a few hundred to a few thousand dollars of</w:t>
      </w:r>
      <w:r>
        <w:t xml:space="preserve"> </w:t>
      </w:r>
      <w:r>
        <w:t xml:space="preserve">assessment, once. A packet-ready situs correction is worth fifty to a hundred times that, recurring.</w:t>
      </w:r>
      <w:r>
        <w:t xml:space="preserve"> </w:t>
      </w:r>
      <w:r>
        <w:t xml:space="preserve">The price should say so.</w:t>
      </w:r>
    </w:p>
    <w:bookmarkEnd w:id="20"/>
    <w:bookmarkStart w:id="21" w:name="what-the-market-charges"/>
    <w:p>
      <w:pPr>
        <w:pStyle w:val="Heading2"/>
      </w:pPr>
      <w:r>
        <w:t xml:space="preserve">What the market charges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Vendor /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$500K recovered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HdL (California)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of recovery, eight quarters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MuniServices → Neumo (Texas)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contingency, eight quarters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Azavar (Illinois)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50% 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Knox County RFP #2969 (Tennessee, 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fixed, all-inclusive, no 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</w:tbl>
    <w:bookmarkEnd w:id="21"/>
    <w:bookmarkStart w:id="25" w:name="X3fc44254bd455100b02c17290118d57bf2ff0e7"/>
    <w:p>
      <w:pPr>
        <w:pStyle w:val="Heading2"/>
      </w:pPr>
      <w:r>
        <w:t xml:space="preserve">The structure — three parts, each tied to a number the client already has</w:t>
      </w:r>
    </w:p>
    <w:bookmarkStart w:id="22" w:name="X206abe6d9fa8bf24d85f5315aeab85b6f58a612"/>
    <w:p>
      <w:pPr>
        <w:pStyle w:val="Heading3"/>
      </w:pPr>
      <w:r>
        <w:t xml:space="preserve">Part A — Monitoring: basis points on prior-year local option collections, tiered</w:t>
      </w:r>
    </w:p>
    <w:p>
      <w:pPr>
        <w:pStyle w:val="FirstParagraph"/>
      </w:pPr>
      <w:r>
        <w:t xml:space="preserve">The base is the jurisdiction’s own audited local option sales tax revenue (county plus school</w:t>
      </w:r>
      <w:r>
        <w:t xml:space="preserve"> </w:t>
      </w:r>
      <w:r>
        <w:t xml:space="preserve">department for a county; the city’s own line for a city). No argument about the number, and it</w:t>
      </w:r>
      <w:r>
        <w:t xml:space="preserve"> </w:t>
      </w:r>
      <w:r>
        <w:t xml:space="preserve">scales with exactly what is at risk.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Prior-year local option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$25M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bps (0.15%)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$25M – $100M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$100M – $500M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above $500M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$7,500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(est. where marked)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value / yr*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Goodlettsville (city)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$7,500 (floor)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$25–75K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3–10×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Mt. Juliet (city)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$100–300K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3–10×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Lebanon (city)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$130–390K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3–10×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Wilson County + schools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$61.8M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$74,300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$310–925K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4–12×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Sumner County + 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$400K–1.2M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4–13×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Rutherford County + 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$750K–2.2M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9–25×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Knox County + 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$1.0–3.0M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9–27×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Shelby County + 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$1.2–3.7M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9–27×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Davidson / 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$2.2–6.7M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9–28×</w:t>
            </w:r>
          </w:p>
        </w:tc>
      </w:tr>
    </w:tbl>
    <w:p>
      <w:pPr>
        <w:pStyle w:val="BodyText"/>
      </w:pPr>
      <w:r>
        <w:t xml:space="preserve">*0.5–1.5% of base — the range in the strategy memo, consistent with the Hendersonville calibration.</w:t>
      </w:r>
      <w:r>
        <w:t xml:space="preserve"> </w:t>
      </w:r>
      <w:r>
        <w:t xml:space="preserve">Bases marked ~ are estimates to be replaced with each jurisdiction’s audited figure.</w:t>
      </w:r>
    </w:p>
    <w:p>
      <w:pPr>
        <w:pStyle w:val="BodyText"/>
      </w:pPr>
      <w:r>
        <w:t xml:space="preserve">Monitoring includes: quarterly re-measurement of every rooftop against refreshed boundaries; the</w:t>
      </w:r>
      <w:r>
        <w:t xml:space="preserve"> </w:t>
      </w:r>
      <w:r>
        <w:t xml:space="preserve">roster join and adjudicated queue after each situs-report pull; both-directions reporting; the</w:t>
      </w:r>
      <w:r>
        <w:t xml:space="preserve"> </w:t>
      </w:r>
      <w:r>
        <w:t xml:space="preserve">quarterly bulletin; the calibration report; and the guarantee that nothing stays wrong for more than</w:t>
      </w:r>
      <w:r>
        <w:t xml:space="preserve"> </w:t>
      </w:r>
      <w:r>
        <w:t xml:space="preserve">the Department’s one-year correction window.</w:t>
      </w:r>
      <w:r>
        <w:t xml:space="preserve"> </w:t>
      </w:r>
      <w:r>
        <w:rPr>
          <w:bCs/>
          <w:b/>
        </w:rPr>
        <w:t xml:space="preserve">The insurance framing is the right one:</w:t>
      </w:r>
      <w:r>
        <w:t xml:space="preserve"> </w:t>
      </w:r>
      <w:r>
        <w:t xml:space="preserve">a few basis</w:t>
      </w:r>
      <w:r>
        <w:t xml:space="preserve"> </w:t>
      </w:r>
      <w:r>
        <w:t xml:space="preserve">points on the protected base, in exchange for never losing a year.</w:t>
      </w:r>
    </w:p>
    <w:bookmarkEnd w:id="22"/>
    <w:bookmarkStart w:id="23" w:name="X08a0ea27144b7ec660153abee1aabcb8e3a31d3"/>
    <w:p>
      <w:pPr>
        <w:pStyle w:val="Heading3"/>
      </w:pPr>
      <w:r>
        <w:t xml:space="preserve">Part B — Reconciliation: $500 per adjudicated, packet-ready finding</w:t>
      </w:r>
    </w:p>
    <w:p>
      <w:pPr>
        <w:pStyle w:val="FirstParagraph"/>
      </w:pPr>
      <w:r>
        <w:t xml:space="preserve">The per-lead model, priced to what the unit is worth. Non-contingent and work-based: the county</w:t>
      </w:r>
      <w:r>
        <w:t xml:space="preserve"> </w:t>
      </w:r>
      <w:r>
        <w:t xml:space="preserve">decides what to submit and pays for the packet, not the outcome. Either direction. A first roster in</w:t>
      </w:r>
      <w:r>
        <w:t xml:space="preserve"> </w:t>
      </w:r>
      <w:r>
        <w:t xml:space="preserve">a county Wilson’s size will likely produce 100–200 findings — $50–100K, once, against a year of back</w:t>
      </w:r>
      <w:r>
        <w:t xml:space="preserve"> </w:t>
      </w:r>
      <w:r>
        <w:t xml:space="preserve">money on every one.</w:t>
      </w:r>
    </w:p>
    <w:p>
      <w:pPr>
        <w:pStyle w:val="BodyText"/>
      </w:pPr>
      <w:r>
        <w:t xml:space="preserve">Offer the contingency alternative in the same proposal —</w:t>
      </w:r>
      <w:r>
        <w:t xml:space="preserve"> </w:t>
      </w:r>
      <w:r>
        <w:rPr>
          <w:bCs/>
          <w:b/>
        </w:rPr>
        <w:t xml:space="preserve">12% of documented recovery for eight</w:t>
      </w:r>
      <w:r>
        <w:rPr>
          <w:bCs/>
          <w:b/>
        </w:rPr>
        <w:t xml:space="preserve"> </w:t>
      </w:r>
      <w:r>
        <w:rPr>
          <w:bCs/>
          <w:b/>
        </w:rPr>
        <w:t xml:space="preserve">quarters</w:t>
      </w:r>
      <w:r>
        <w:t xml:space="preserve">, cheaper than HdL’s 15% — and let procurement choose. Some jurisdictions can only buy</w:t>
      </w:r>
      <w:r>
        <w:t xml:space="preserve"> </w:t>
      </w:r>
      <w:r>
        <w:t xml:space="preserve">“</w:t>
      </w:r>
      <w:r>
        <w:t xml:space="preserve">free.</w:t>
      </w:r>
      <w:r>
        <w:t xml:space="preserve">”</w:t>
      </w:r>
      <w:r>
        <w:t xml:space="preserve"> </w:t>
      </w:r>
      <w:r>
        <w:t xml:space="preserve">Never both on the same finding.</w:t>
      </w:r>
    </w:p>
    <w:bookmarkEnd w:id="23"/>
    <w:bookmarkStart w:id="24" w:name="X6195548e917e7aae65a12d2a7627232541ab285"/>
    <w:p>
      <w:pPr>
        <w:pStyle w:val="Heading3"/>
      </w:pPr>
      <w:r>
        <w:t xml:space="preserve">Part C — Annual business-license and TPP check: $10 per verified lead, unchanged</w:t>
      </w:r>
    </w:p>
    <w:p>
      <w:pPr>
        <w:pStyle w:val="FirstParagraph"/>
      </w:pPr>
      <w:r>
        <w:t xml:space="preserve">The existing Civvix product, run once a year against the same placed universe, bundled into the</w:t>
      </w:r>
      <w:r>
        <w:t xml:space="preserve"> </w:t>
      </w:r>
      <w:r>
        <w:t xml:space="preserve">engagement letter so it never needs its own procurement.</w:t>
      </w:r>
    </w:p>
    <w:bookmarkEnd w:id="24"/>
    <w:bookmarkEnd w:id="25"/>
    <w:bookmarkStart w:id="26" w:name="what-wilson-county-pays-and-gets"/>
    <w:p>
      <w:pPr>
        <w:pStyle w:val="Heading2"/>
      </w:pPr>
      <w:r>
        <w:t xml:space="preserve">What Wilson County pays and gets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Steady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$74,300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$74,300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 (B), ~150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~$10–20K (new errors: annexations, new registrations)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~$150K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~$85–95K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Recovered + protected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$500–900K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$300K+ protected, growing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3.5–4× and compounding</w:t>
            </w:r>
          </w:p>
        </w:tc>
      </w:tr>
    </w:tbl>
    <w:p>
      <w:pPr>
        <w:pStyle w:val="BodyText"/>
      </w:pPr>
      <w:r>
        <w:t xml:space="preserve">This clears the county bid threshold, which is intended: the RFP becomes the template other counties</w:t>
      </w:r>
      <w:r>
        <w:t xml:space="preserve"> </w:t>
      </w:r>
      <w:r>
        <w:t xml:space="preserve">copy, and Civvix is the only vendor that wrote a proposal against it.</w:t>
      </w:r>
    </w:p>
    <w:bookmarkEnd w:id="26"/>
    <w:bookmarkStart w:id="27" w:name="what-it-does-statewide"/>
    <w:p>
      <w:pPr>
        <w:pStyle w:val="Heading2"/>
      </w:pPr>
      <w:r>
        <w:t xml:space="preserve">What it does statewide</w:t>
      </w:r>
    </w:p>
    <w:p>
      <w:pPr>
        <w:pStyle w:val="FirstParagraph"/>
      </w:pPr>
      <w:r>
        <w:t xml:space="preserve">Tennessee’s local option sales tax runs roughly $3B a year across counties and cities. With the</w:t>
      </w:r>
      <w:r>
        <w:t xml:space="preserve"> </w:t>
      </w:r>
      <w:r>
        <w:t xml:space="preserve">tiering, counties alone come to about</w:t>
      </w:r>
      <w:r>
        <w:t xml:space="preserve"> </w:t>
      </w:r>
      <w:r>
        <w:rPr>
          <w:bCs/>
          <w:b/>
        </w:rPr>
        <w:t xml:space="preserve">$3.5M a year at full penetration</w:t>
      </w:r>
      <w:r>
        <w:t xml:space="preserve">, cities another</w:t>
      </w:r>
      <w:r>
        <w:t xml:space="preserve"> </w:t>
      </w:r>
      <w:r>
        <w:rPr>
          <w:bCs/>
          <w:b/>
        </w:rPr>
        <w:t xml:space="preserve">$2M</w:t>
      </w:r>
      <w:r>
        <w:t xml:space="preserve">,</w:t>
      </w:r>
      <w:r>
        <w:t xml:space="preserve"> </w:t>
      </w:r>
      <w:r>
        <w:t xml:space="preserve">before a dollar of reconciliation or TPP work. At a realistic 35% of the state by year three:</w:t>
      </w:r>
      <w:r>
        <w:t xml:space="preserve"> </w:t>
      </w:r>
      <w:r>
        <w:rPr>
          <w:bCs/>
          <w:b/>
        </w:rPr>
        <w:t xml:space="preserve">~$2M</w:t>
      </w:r>
      <w:r>
        <w:rPr>
          <w:bCs/>
          <w:b/>
        </w:rPr>
        <w:t xml:space="preserve"> </w:t>
      </w:r>
      <w:r>
        <w:rPr>
          <w:bCs/>
          <w:b/>
        </w:rPr>
        <w:t xml:space="preserve">recurring plus findings</w:t>
      </w:r>
      <w:r>
        <w:t xml:space="preserve">, on infrastructure that costs under $500 a month, because the surface is</w:t>
      </w:r>
      <w:r>
        <w:t xml:space="preserve"> </w:t>
      </w:r>
      <w:r>
        <w:t xml:space="preserve">statewide and a jurisdiction is a config file.</w:t>
      </w:r>
    </w:p>
    <w:bookmarkEnd w:id="27"/>
    <w:bookmarkStart w:id="28" w:name="rules-that-travel-with-the-structure"/>
    <w:p>
      <w:pPr>
        <w:pStyle w:val="Heading2"/>
      </w:pPr>
      <w:r>
        <w:t xml:space="preserve">Rules that travel with the structure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contingency on monitoring, ever.</w:t>
      </w:r>
      <w:r>
        <w:t xml:space="preserve"> </w:t>
      </w:r>
      <w:r>
        <w:t xml:space="preserve">The fee is the fee; the jurisdiction keeps 100% of what</w:t>
      </w:r>
      <w:r>
        <w:t xml:space="preserve"> </w:t>
      </w:r>
      <w:r>
        <w:t xml:space="preserve">comes back. This is the sentence that beats every competitor and neutralizes the predatory-vendor</w:t>
      </w:r>
      <w:r>
        <w:t xml:space="preserve"> </w:t>
      </w:r>
      <w:r>
        <w:t xml:space="preserve">objection before it is raised.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County-and-cities package.</w:t>
      </w:r>
      <w:r>
        <w:t xml:space="preserve"> </w:t>
      </w:r>
      <w:r>
        <w:t xml:space="preserve">When a county signs, each city inside it monitors at 75% of its</w:t>
      </w:r>
      <w:r>
        <w:t xml:space="preserve"> </w:t>
      </w:r>
      <w:r>
        <w:t xml:space="preserve">formula fee. It puts both sides of every intra-county seam inside one client family, which is how</w:t>
      </w:r>
      <w:r>
        <w:t xml:space="preserve"> </w:t>
      </w:r>
      <w:r>
        <w:t xml:space="preserve">the bidirectional-findings problem stops being awkward and becomes a feature.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Multi-year price lock</w:t>
      </w:r>
      <w:r>
        <w:t xml:space="preserve">, annual renewal, so a five-year relationship never trips an aggregation</w:t>
      </w:r>
      <w:r>
        <w:t xml:space="preserve"> </w:t>
      </w:r>
      <w:r>
        <w:t xml:space="preserve">rule the county did not plan for.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Multi-county cities</w:t>
      </w:r>
      <w:r>
        <w:t xml:space="preserve"> </w:t>
      </w:r>
      <w:r>
        <w:t xml:space="preserve">(Goodlettsville, Portland, White House, Millersville, Ridgetop) are priced</w:t>
      </w:r>
      <w:r>
        <w:t xml:space="preserve"> </w:t>
      </w:r>
      <w:r>
        <w:t xml:space="preserve">on their whole base and served from both county surfaces.</w:t>
      </w:r>
    </w:p>
    <w:bookmarkEnd w:id="28"/>
    <w:bookmarkStart w:id="29" w:name="the-pitch-in-one-paragraph"/>
    <w:p>
      <w:pPr>
        <w:pStyle w:val="Heading2"/>
      </w:pPr>
      <w:r>
        <w:t xml:space="preserve">The pitch in one paragraph</w:t>
      </w:r>
    </w:p>
    <w:p>
      <w:pPr>
        <w:pStyle w:val="FirstParagraph"/>
      </w:pPr>
      <w:r>
        <w:rPr>
          <w:iCs/>
          <w:i/>
        </w:rPr>
        <w:t xml:space="preserve">Every year, sales tax that belongs to you is being sent somewhere else because someone wrote a</w:t>
      </w:r>
      <w:r>
        <w:rPr>
          <w:iCs/>
          <w:i/>
        </w:rPr>
        <w:t xml:space="preserve"> </w:t>
      </w:r>
      <w:r>
        <w:rPr>
          <w:iCs/>
          <w:i/>
        </w:rPr>
        <w:t xml:space="preserve">mailing address on a form fifteen years ago, and the State never checks. We already know where those</w:t>
      </w:r>
      <w:r>
        <w:rPr>
          <w:iCs/>
          <w:i/>
        </w:rPr>
        <w:t xml:space="preserve"> </w:t>
      </w:r>
      <w:r>
        <w:rPr>
          <w:iCs/>
          <w:i/>
        </w:rPr>
        <w:t xml:space="preserve">errors are on your map — you can look right now, free. For a few basis points on the revenue we</w:t>
      </w:r>
      <w:r>
        <w:rPr>
          <w:iCs/>
          <w:i/>
        </w:rPr>
        <w:t xml:space="preserve"> </w:t>
      </w:r>
      <w:r>
        <w:rPr>
          <w:iCs/>
          <w:i/>
        </w:rPr>
        <w:t xml:space="preserve">protect, we compare the State’s list to the map every quarter, hand you the correction letters ready</w:t>
      </w:r>
      <w:r>
        <w:rPr>
          <w:iCs/>
          <w:i/>
        </w:rPr>
        <w:t xml:space="preserve"> </w:t>
      </w:r>
      <w:r>
        <w:rPr>
          <w:iCs/>
          <w:i/>
        </w:rPr>
        <w:t xml:space="preserve">to sign, and guarantee nothing is ever missed for more than the one-year window the Department</w:t>
      </w:r>
      <w:r>
        <w:rPr>
          <w:iCs/>
          <w:i/>
        </w:rPr>
        <w:t xml:space="preserve"> </w:t>
      </w:r>
      <w:r>
        <w:rPr>
          <w:iCs/>
          <w:i/>
        </w:rPr>
        <w:t xml:space="preserve">allows. We take no share of what comes back.</w:t>
      </w:r>
    </w:p>
    <w:bookmarkEnd w:id="29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cs="Calibri" w:eastAsia="Calibri" w:hAnsi="Calibri"/>
      <w:b w:val="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b w:val="0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b w:val="0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1F5C7A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8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3D4B57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Pricing — Anchored to ROI, Replicable from Goodlettsville to Shelby County</dc:title>
  <dc:creator>Civvix Inc.</dc:creator>
  <cp:keywords/>
  <dcterms:created xsi:type="dcterms:W3CDTF">2026-09-13T02:00:51Z</dcterms:created>
  <dcterms:modified xsi:type="dcterms:W3CDTF">2026-09-13T02:00:51Z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</Properties>
</file>