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Situs Correction Request to TN DOR — Letter Template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Tennessee publishes no form and no sample letter. This template is synthesized from the only</w:t>
      </w:r>
      <w:r>
        <w:rPr>
          <w:iCs/>
          <w:i/>
        </w:rPr>
        <w:t xml:space="preserve"> </w:t>
      </w:r>
      <w:r>
        <w:rPr>
          <w:iCs/>
          <w:i/>
        </w:rPr>
        <w:t xml:space="preserve">documented Tennessee procedure (MTAS-544: mark corrections on the situs report and send it to</w:t>
      </w:r>
      <w:r>
        <w:rPr>
          <w:iCs/>
          <w:i/>
        </w:rPr>
        <w:t xml:space="preserve"> </w:t>
      </w:r>
      <w:r>
        <w:rPr>
          <w:iCs/>
          <w:i/>
        </w:rPr>
        <w:t xml:space="preserve">Financial Control with account numbers) and from the states that do publish a form — California’s</w:t>
      </w:r>
      <w:r>
        <w:rPr>
          <w:iCs/>
          <w:i/>
        </w:rPr>
        <w:t xml:space="preserve"> </w:t>
      </w:r>
      <w:r>
        <w:rPr>
          <w:iCs/>
          <w:i/>
        </w:rPr>
        <w:t xml:space="preserve">CDTFA-549 petition and Regulation 35056 (the seven required elements and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sufficient factual data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standard), Alabama’s Local Account Number Correction form (incorrect code / correct code / effective</w:t>
      </w:r>
      <w:r>
        <w:rPr>
          <w:iCs/>
          <w:i/>
        </w:rPr>
        <w:t xml:space="preserve"> </w:t>
      </w:r>
      <w:r>
        <w:rPr>
          <w:iCs/>
          <w:i/>
        </w:rPr>
        <w:t xml:space="preserve">date, signed by an authorized official), and Illinois’ referral statute (account ID, location,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specific reason … including as much detail as possible</w:t>
      </w:r>
      <w:r>
        <w:rPr>
          <w:iCs/>
          <w:i/>
        </w:rPr>
        <w:t xml:space="preserve">”</w:t>
      </w:r>
      <w:r>
        <w:rPr>
          <w:iCs/>
          <w:i/>
        </w:rPr>
        <w:t xml:space="preserve">). It is written to satisfy the strictest</w:t>
      </w:r>
      <w:r>
        <w:rPr>
          <w:iCs/>
          <w:i/>
        </w:rPr>
        <w:t xml:space="preserve"> </w:t>
      </w:r>
      <w:r>
        <w:rPr>
          <w:iCs/>
          <w:i/>
        </w:rPr>
        <w:t xml:space="preserve">of those so that a Tennessee reviewer has nothing to send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[COUNTY / CITY LETTERHEAD]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Tennessee Department of Revenue</w:t>
      </w:r>
      <w:r>
        <w:br/>
      </w:r>
      <w:r>
        <w:t xml:space="preserve">Financial Control Division</w:t>
      </w:r>
      <w:r>
        <w:br/>
      </w:r>
      <w:r>
        <w:t xml:space="preserve">500 Deaderick Street</w:t>
      </w:r>
      <w:r>
        <w:br/>
      </w:r>
      <w:r>
        <w:t xml:space="preserve">Nashville, Tennessee 37242</w:t>
      </w:r>
      <w:r>
        <w:br/>
      </w:r>
      <w:r>
        <w:t xml:space="preserve">revenue.financialcontrol@tn.gov</w:t>
      </w:r>
    </w:p>
    <w:p>
      <w:pPr>
        <w:pStyle w:val="BodyText"/>
      </w:pPr>
      <w:r>
        <w:rPr>
          <w:bCs/>
          <w:b/>
        </w:rPr>
        <w:t xml:space="preserve">Re: Request for correction of local option sales tax situs allocation — [Jurisdiction], situs code</w:t>
      </w:r>
      <w:r>
        <w:rPr>
          <w:bCs/>
          <w:b/>
        </w:rPr>
        <w:t xml:space="preserve"> </w:t>
      </w:r>
      <w:r>
        <w:rPr>
          <w:bCs/>
          <w:b/>
        </w:rPr>
        <w:t xml:space="preserve">[XXXX] — [N] taxpayer accounts — Notification date [Date]</w:t>
      </w:r>
    </w:p>
    <w:p>
      <w:pPr>
        <w:pStyle w:val="BodyText"/>
      </w:pPr>
      <w:r>
        <w:t xml:space="preserve">Dear Financial Control Division:</w:t>
      </w:r>
    </w:p>
    <w:p>
      <w:pPr>
        <w:pStyle w:val="BodyText"/>
      </w:pPr>
      <w:r>
        <w:rPr>
          <w:bCs/>
          <w:b/>
        </w:rPr>
        <w:t xml:space="preserve">1. Standing and authority.</w:t>
      </w:r>
      <w:r>
        <w:t xml:space="preserve"> </w:t>
      </w:r>
      <w:r>
        <w:t xml:space="preserve">[Jurisdiction] submits this request as a unit of local government</w:t>
      </w:r>
      <w:r>
        <w:t xml:space="preserve"> </w:t>
      </w:r>
      <w:r>
        <w:t xml:space="preserve">under Tenn. Code Ann. § 67-1-1704(d), which authorizes the Department to disclose situs information</w:t>
      </w:r>
      <w:r>
        <w:t xml:space="preserve"> </w:t>
      </w:r>
      <w:r>
        <w:t xml:space="preserve">to duly authorized local officials for the purpose of ascertaining whether allocations of state and</w:t>
      </w:r>
      <w:r>
        <w:t xml:space="preserve"> </w:t>
      </w:r>
      <w:r>
        <w:t xml:space="preserve">local taxes are being distributed to the correct unit of local government. Local option sales tax is</w:t>
      </w:r>
      <w:r>
        <w:t xml:space="preserve"> </w:t>
      </w:r>
      <w:r>
        <w:t xml:space="preserve">distributable under § 67-6-712(a)(2) to the jurisdiction in which the privilege is exercised. The</w:t>
      </w:r>
      <w:r>
        <w:t xml:space="preserve"> </w:t>
      </w:r>
      <w:r>
        <w:t xml:space="preserve">undersigned is the [Finance Director / County Mayor], a duly authorized official. [If applicable:</w:t>
      </w:r>
      <w:r>
        <w:t xml:space="preserve"> </w:t>
      </w:r>
      <w:r>
        <w:t xml:space="preserve">The analysis attached was prepared by [Jurisdiction]’s contractor, [name], under § 67-1-1704(e); a</w:t>
      </w:r>
      <w:r>
        <w:t xml:space="preserve"> </w:t>
      </w:r>
      <w:r>
        <w:t xml:space="preserve">copy of the authorizing [resolution / contract] is attached.]</w:t>
      </w:r>
    </w:p>
    <w:p>
      <w:pPr>
        <w:pStyle w:val="BodyText"/>
      </w:pPr>
      <w:r>
        <w:rPr>
          <w:bCs/>
          <w:b/>
        </w:rPr>
        <w:t xml:space="preserve">2. Situs report reviewed.</w:t>
      </w:r>
      <w:r>
        <w:t xml:space="preserve"> </w:t>
      </w:r>
      <w:r>
        <w:t xml:space="preserve">[Jurisdiction] reviewed the situs report for situs code [XXXX]</w:t>
      </w:r>
      <w:r>
        <w:t xml:space="preserve"> </w:t>
      </w:r>
      <w:r>
        <w:t xml:space="preserve">downloaded from the Revenue External Portal on [date], covering ZIP codes [list]. A marked-up copy of</w:t>
      </w:r>
      <w:r>
        <w:t xml:space="preserve"> </w:t>
      </w:r>
      <w:r>
        <w:t xml:space="preserve">that report identifying each account addressed here is attached as Exhibit A.</w:t>
      </w:r>
    </w:p>
    <w:p>
      <w:pPr>
        <w:pStyle w:val="BodyText"/>
      </w:pPr>
      <w:r>
        <w:rPr>
          <w:bCs/>
          <w:b/>
        </w:rPr>
        <w:t xml:space="preserve">3. Accounts requested for correction.</w:t>
      </w:r>
      <w:r>
        <w:t xml:space="preserve"> </w:t>
      </w:r>
      <w:r>
        <w:t xml:space="preserve">For each account listed in the table below and detailed</w:t>
      </w:r>
      <w:r>
        <w:t xml:space="preserve"> </w:t>
      </w:r>
      <w:r>
        <w:t xml:space="preserve">in the attached evidence packets (Exhibit B), the business location is physically situated in a</w:t>
      </w:r>
      <w:r>
        <w:t xml:space="preserve"> </w:t>
      </w:r>
      <w:r>
        <w:t xml:space="preserve">jurisdiction other than the one to which the account is currently coded.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name / 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tax account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Basis and evidence.</w:t>
      </w:r>
      <w:r>
        <w:t xml:space="preserve"> </w:t>
      </w:r>
      <w:r>
        <w:t xml:space="preserve">For every account, the evidence packet shows: the location’s position</w:t>
      </w:r>
      <w:r>
        <w:t xml:space="preserve"> </w:t>
      </w:r>
      <w:r>
        <w:t xml:space="preserve">within the Department’s own published Sales Tax Rate Boundary polygon; the jurisdiction assigned to</w:t>
      </w:r>
      <w:r>
        <w:t xml:space="preserve"> </w:t>
      </w:r>
      <w:r>
        <w:t xml:space="preserve">the address by the Department’s Streamlined Sales Tax address-range file; the municipality recorded</w:t>
      </w:r>
      <w:r>
        <w:t xml:space="preserve"> </w:t>
      </w:r>
      <w:r>
        <w:t xml:space="preserve">for the address by the 911 addressing authority; the Comptroller of the Treasury’s certified municipal</w:t>
      </w:r>
      <w:r>
        <w:t xml:space="preserve"> </w:t>
      </w:r>
      <w:r>
        <w:t xml:space="preserve">boundary; the measured distance in feet from the location to the nearest boundary between two situs</w:t>
      </w:r>
      <w:r>
        <w:t xml:space="preserve"> </w:t>
      </w:r>
      <w:r>
        <w:t xml:space="preserve">codes, in Tennessee State Plane coordinates; the effective date and custodian of every source; and</w:t>
      </w:r>
      <w:r>
        <w:t xml:space="preserve"> </w:t>
      </w:r>
      <w:r>
        <w:t xml:space="preserve">the name and date of the reviewer. Where the location lies within 250 feet of a boundary, the packet</w:t>
      </w:r>
      <w:r>
        <w:t xml:space="preserve"> </w:t>
      </w:r>
      <w:r>
        <w:t xml:space="preserve">additionally records parcel and structure evidence. [Jurisdiction] will furnish proof of its corporate</w:t>
      </w:r>
      <w:r>
        <w:t xml:space="preserve"> </w:t>
      </w:r>
      <w:r>
        <w:t xml:space="preserve">boundaries, including annexation ordinances and their recording data, on request.</w:t>
      </w:r>
    </w:p>
    <w:p>
      <w:pPr>
        <w:pStyle w:val="BodyText"/>
      </w:pPr>
      <w:r>
        <w:rPr>
          <w:bCs/>
          <w:b/>
        </w:rPr>
        <w:t xml:space="preserve">5. Period.</w:t>
      </w:r>
      <w:r>
        <w:t xml:space="preserve"> </w:t>
      </w:r>
      <w:r>
        <w:t xml:space="preserve">[Jurisdiction] requests that each account be corrected prospectively and that prior</w:t>
      </w:r>
      <w:r>
        <w:t xml:space="preserve"> </w:t>
      </w:r>
      <w:r>
        <w:t xml:space="preserve">distributions be adjusted for the twelve months preceding the date of this notification, [date]</w:t>
      </w:r>
      <w:r>
        <w:t xml:space="preserve"> </w:t>
      </w:r>
      <w:r>
        <w:t xml:space="preserve">through [date], or such longer period as the Department’s practice permits. Please confirm the</w:t>
      </w:r>
      <w:r>
        <w:t xml:space="preserve"> </w:t>
      </w:r>
      <w:r>
        <w:t xml:space="preserve">notification date the Department has recorded for this request.</w:t>
      </w:r>
    </w:p>
    <w:p>
      <w:pPr>
        <w:pStyle w:val="BodyText"/>
      </w:pPr>
      <w:r>
        <w:rPr>
          <w:bCs/>
          <w:b/>
        </w:rPr>
        <w:t xml:space="preserve">6. Requested action.</w:t>
      </w:r>
      <w:r>
        <w:t xml:space="preserve"> </w:t>
      </w:r>
      <w:r>
        <w:t xml:space="preserve">[Jurisdiction] requests that the Department: (a) update the situs code on</w:t>
      </w:r>
      <w:r>
        <w:t xml:space="preserve"> </w:t>
      </w:r>
      <w:r>
        <w:t xml:space="preserve">each account listed; (b) adjust distributions for the period stated and advise the schedule on</w:t>
      </w:r>
      <w:r>
        <w:t xml:space="preserve"> </w:t>
      </w:r>
      <w:r>
        <w:t xml:space="preserve">which the adjustment will be made; (c) acknowledge receipt of this request in writing; and (d) notify</w:t>
      </w:r>
      <w:r>
        <w:t xml:space="preserve"> </w:t>
      </w:r>
      <w:r>
        <w:t xml:space="preserve">[Jurisdiction] of any account on which the taxpayer or another jurisdiction disputes the</w:t>
      </w:r>
      <w:r>
        <w:t xml:space="preserve"> </w:t>
      </w:r>
      <w:r>
        <w:t xml:space="preserve">correction, together with the deadline for [Jurisdiction]’s response.</w:t>
      </w:r>
    </w:p>
    <w:p>
      <w:pPr>
        <w:pStyle w:val="BodyText"/>
      </w:pPr>
      <w:r>
        <w:rPr>
          <w:bCs/>
          <w:b/>
        </w:rPr>
        <w:t xml:space="preserve">7. Accounts not appearing on the situs report.</w:t>
      </w:r>
      <w:r>
        <w:t xml:space="preserve"> </w:t>
      </w:r>
      <w:r>
        <w:t xml:space="preserve">Exhibit C lists [N] businesses operating at</w:t>
      </w:r>
      <w:r>
        <w:t xml:space="preserve"> </w:t>
      </w:r>
      <w:r>
        <w:t xml:space="preserve">locations within [Jurisdiction] that do not appear on the situs report, with sales tax account</w:t>
      </w:r>
      <w:r>
        <w:t xml:space="preserve"> </w:t>
      </w:r>
      <w:r>
        <w:t xml:space="preserve">numbers where known. [Jurisdiction] requests that the Department verify the situs coding of each.</w:t>
      </w:r>
    </w:p>
    <w:p>
      <w:pPr>
        <w:pStyle w:val="BodyText"/>
      </w:pPr>
      <w:r>
        <w:rPr>
          <w:bCs/>
          <w:b/>
        </w:rPr>
        <w:t xml:space="preserve">8. Both directions.</w:t>
      </w:r>
      <w:r>
        <w:t xml:space="preserve"> </w:t>
      </w:r>
      <w:r>
        <w:t xml:space="preserve">[Optional, recommended:] Exhibit D lists [N] accounts currently coded to</w:t>
      </w:r>
      <w:r>
        <w:t xml:space="preserve"> </w:t>
      </w:r>
      <w:r>
        <w:t xml:space="preserve">[Jurisdiction] whose location the same evidence places in another jurisdiction. [Jurisdiction]</w:t>
      </w:r>
      <w:r>
        <w:t xml:space="preserve"> </w:t>
      </w:r>
      <w:r>
        <w:t xml:space="preserve">reports these in the interest of accurate allocation. / [Jurisdiction] has provided these to</w:t>
      </w:r>
      <w:r>
        <w:t xml:space="preserve"> </w:t>
      </w:r>
      <w:r>
        <w:t xml:space="preserve">[neighboring jurisdiction] under its inter-local agreement.</w:t>
      </w:r>
    </w:p>
    <w:p>
      <w:pPr>
        <w:pStyle w:val="BodyText"/>
      </w:pPr>
      <w:r>
        <w:t xml:space="preserve">Please direct acknowledgment and all correspondence to:</w:t>
      </w:r>
    </w:p>
    <w:p>
      <w:pPr>
        <w:pStyle w:val="BodyText"/>
      </w:pPr>
      <w:r>
        <w:t xml:space="preserve">[Name], [Title]</w:t>
      </w:r>
      <w:r>
        <w:br/>
      </w:r>
      <w:r>
        <w:t xml:space="preserve">[Address] · [Phone] · [Email]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t xml:space="preserve">______________________________</w:t>
      </w:r>
      <w:r>
        <w:br/>
      </w:r>
      <w:r>
        <w:t xml:space="preserve">[Name], [Title]</w:t>
      </w:r>
      <w:r>
        <w:br/>
      </w:r>
      <w:r>
        <w:t xml:space="preserve">[Jurisdiction]</w:t>
      </w:r>
    </w:p>
    <w:p>
      <w:pPr>
        <w:pStyle w:val="BodyText"/>
      </w:pPr>
      <w:r>
        <w:rPr>
          <w:bCs/>
          <w:b/>
        </w:rPr>
        <w:t xml:space="preserve">Attachments:</w:t>
      </w:r>
      <w:r>
        <w:t xml:space="preserve"> </w:t>
      </w:r>
      <w:r>
        <w:t xml:space="preserve">Exhibit A — marked-up situs report · Exhibit B — evidence packets B-1 … B-[N] ·</w:t>
      </w:r>
      <w:r>
        <w:t xml:space="preserve"> </w:t>
      </w:r>
      <w:r>
        <w:t xml:space="preserve">Exhibit C — businesses not on the situs report · Exhibit D — accounts coded to [Jurisdiction] located</w:t>
      </w:r>
      <w:r>
        <w:t xml:space="preserve"> </w:t>
      </w:r>
      <w:r>
        <w:t xml:space="preserve">elsewhere · [Authorizing resolution / contractor designation]</w:t>
      </w:r>
    </w:p>
    <w:p>
      <w:r>
        <w:pict>
          <v:rect style="width:0;height:1.5pt" o:hralign="center" o:hrstd="t" o:hr="t"/>
        </w:pict>
      </w:r>
    </w:p>
    <w:bookmarkStart w:id="20" w:name="notes-on-use"/>
    <w:p>
      <w:pPr>
        <w:pStyle w:val="Heading2"/>
      </w:pPr>
      <w:r>
        <w:t xml:space="preserve">Notes on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notification date is the money.</w:t>
      </w:r>
      <w:r>
        <w:t xml:space="preserve"> </w:t>
      </w:r>
      <w:r>
        <w:t xml:space="preserve">The Department corrects one year back from notification</w:t>
      </w:r>
      <w:r>
        <w:t xml:space="preserve"> </w:t>
      </w:r>
      <w:r>
        <w:t xml:space="preserve">(MTAS; practice, not statute). State the date in the subject line and in ¶5, send by a method that</w:t>
      </w:r>
      <w:r>
        <w:t xml:space="preserve"> </w:t>
      </w:r>
      <w:r>
        <w:t xml:space="preserve">records receipt, and ask the Department to confirm the date it has logged. California protects the</w:t>
      </w:r>
      <w:r>
        <w:t xml:space="preserve"> </w:t>
      </w:r>
      <w:r>
        <w:t xml:space="preserve">“</w:t>
      </w:r>
      <w:r>
        <w:t xml:space="preserve">date of knowledge</w:t>
      </w:r>
      <w:r>
        <w:t xml:space="preserve">”</w:t>
      </w:r>
      <w:r>
        <w:t xml:space="preserve"> </w:t>
      </w:r>
      <w:r>
        <w:t xml:space="preserve">for a petition that is later supplemented within 30 days; Tennessee has no</w:t>
      </w:r>
      <w:r>
        <w:t xml:space="preserve"> </w:t>
      </w:r>
      <w:r>
        <w:t xml:space="preserve">such rule, so file complete.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account per packet; one letter per batch.</w:t>
      </w:r>
      <w:r>
        <w:t xml:space="preserve"> </w:t>
      </w:r>
      <w:r>
        <w:t xml:space="preserve">A reviewer should be able to verify any single</w:t>
      </w:r>
      <w:r>
        <w:t xml:space="preserve"> </w:t>
      </w:r>
      <w:r>
        <w:t xml:space="preserve">account without reading the others.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Account numbers come from the situs report</w:t>
      </w:r>
      <w:r>
        <w:t xml:space="preserve"> </w:t>
      </w:r>
      <w:r>
        <w:t xml:space="preserve">and appear only in the letter and packets that the</w:t>
      </w:r>
      <w:r>
        <w:t xml:space="preserve"> </w:t>
      </w:r>
      <w:r>
        <w:t xml:space="preserve">county sends. They never appear in anything the contractor retains.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 as the local government.</w:t>
      </w:r>
      <w:r>
        <w:t xml:space="preserve"> </w:t>
      </w:r>
      <w:r>
        <w:t xml:space="preserve">The contractor prepares; the authorized official signs and</w:t>
      </w:r>
      <w:r>
        <w:t xml:space="preserve"> </w:t>
      </w:r>
      <w:r>
        <w:t xml:space="preserve">sends. This matches Knox County’s 2020 structure and keeps the § 67-1-1704(e) non-disclosure</w:t>
      </w:r>
      <w:r>
        <w:t xml:space="preserve"> </w:t>
      </w:r>
      <w:r>
        <w:t xml:space="preserve">question from ever arising.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verification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step.</w:t>
      </w:r>
      <w:r>
        <w:t xml:space="preserve"> </w:t>
      </w:r>
      <w:r>
        <w:t xml:space="preserve">Per Knox County’s RFP, the Department asks the other party to</w:t>
      </w:r>
      <w:r>
        <w:t xml:space="preserve"> </w:t>
      </w:r>
      <w:r>
        <w:t xml:space="preserve">concur, not reply (treated as concurrence), or dispute. Build the calendar for it.</w:t>
      </w:r>
    </w:p>
    <w:bookmarkEnd w:id="2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Situs Correction Request to TN DOR — Letter Template</dc:title>
  <dc:creator>Civvix Inc.</dc:creator>
  <cp:keywords/>
  <dcterms:created xsi:type="dcterms:W3CDTF">2026-09-13T01:43:54Z</dcterms:created>
  <dcterms:modified xsi:type="dcterms:W3CDTF">2026-09-13T01:43:54Z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