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Tennessee Tip to Tip — Statewide Build-Out Strategy</w:t>
      </w:r>
    </w:p>
    <w:p>
      <w:pPr>
        <w:pStyle w:val="Author"/>
      </w:pPr>
      <w:r>
        <w:t xml:space="preserve">Civvix Inc.</w:t>
      </w:r>
    </w:p>
    <w:p>
      <w:pPr>
        <w:pStyle w:val="Date"/>
      </w:pPr>
      <w:r>
        <w:t xml:space="preserve">September 2026</w:t>
      </w:r>
    </w:p>
    <w:p>
      <w:pPr>
        <w:pStyle w:val="FirstParagraph"/>
      </w:pPr>
      <w:r>
        <w:rPr>
          <w:iCs/>
          <w:i/>
        </w:rPr>
        <w:t xml:space="preserve">What it takes to go from four proven counties to a statewide service any jurisdiction can sign up</w:t>
      </w:r>
      <w:r>
        <w:rPr>
          <w:iCs/>
          <w:i/>
        </w:rPr>
        <w:t xml:space="preserve"> </w:t>
      </w:r>
      <w:r>
        <w:rPr>
          <w:iCs/>
          <w:i/>
        </w:rPr>
        <w:t xml:space="preserve">for, delivered quarterly, with business-license and TPP support bundled on top.</w:t>
      </w:r>
    </w:p>
    <w:bookmarkStart w:id="20" w:name="where-this-stands-today"/>
    <w:p>
      <w:pPr>
        <w:pStyle w:val="Heading2"/>
      </w:pPr>
      <w:r>
        <w:t xml:space="preserve">Where this stands today</w:t>
      </w:r>
    </w:p>
    <w:p>
      <w:pPr>
        <w:pStyle w:val="FirstParagraph"/>
      </w:pPr>
      <w:r>
        <w:t xml:space="preserve">Four counties run through one config-driven pipeline in two days: Wilson (88k rooftops), Sumner</w:t>
      </w:r>
      <w:r>
        <w:t xml:space="preserve"> </w:t>
      </w:r>
      <w:r>
        <w:t xml:space="preserve">(107k), Rutherford (180k), Davidson (463k). Every one produced a placed rooftop surface, seams</w:t>
      </w:r>
      <w:r>
        <w:t xml:space="preserve"> </w:t>
      </w:r>
      <w:r>
        <w:t xml:space="preserve">measured in feet, a ranked exception queue, a per-county workbench, and a bulletin — from free data,</w:t>
      </w:r>
      <w:r>
        <w:t xml:space="preserve"> </w:t>
      </w:r>
      <w:r>
        <w:t xml:space="preserve">with one calibration against a real coded roster. The statewide layers are already in the warehouse:</w:t>
      </w:r>
      <w:r>
        <w:t xml:space="preserve"> </w:t>
      </w:r>
      <w:r>
        <w:t xml:space="preserve">473 DOR situs polygons (every code in Tennessee), 345 certified city boundaries, 95 county polygons.</w:t>
      </w:r>
      <w:r>
        <w:t xml:space="preserve"> </w:t>
      </w:r>
      <w:r>
        <w:t xml:space="preserve">Secretary of State entity files for ~75 counties are already in hand.</w:t>
      </w:r>
      <w:r>
        <w:t xml:space="preserve"> </w:t>
      </w:r>
      <w:r>
        <w:rPr>
          <w:bCs/>
          <w:b/>
        </w:rPr>
        <w:t xml:space="preserve">The method is proven; what</w:t>
      </w:r>
      <w:r>
        <w:rPr>
          <w:bCs/>
          <w:b/>
        </w:rPr>
        <w:t xml:space="preserve"> </w:t>
      </w:r>
      <w:r>
        <w:rPr>
          <w:bCs/>
          <w:b/>
        </w:rPr>
        <w:t xml:space="preserve">remains is scale, automation and operations.</w:t>
      </w:r>
    </w:p>
    <w:bookmarkEnd w:id="20"/>
    <w:bookmarkStart w:id="21" w:name="what-tip-to-tip-consists-of"/>
    <w:p>
      <w:pPr>
        <w:pStyle w:val="Heading2"/>
      </w:pPr>
      <w:r>
        <w:t xml:space="preserve">What</w:t>
      </w:r>
      <w:r>
        <w:t xml:space="preserve"> </w:t>
      </w:r>
      <w:r>
        <w:t xml:space="preserve">“</w:t>
      </w:r>
      <w:r>
        <w:t xml:space="preserve">tip to tip</w:t>
      </w:r>
      <w:r>
        <w:t xml:space="preserve">”</w:t>
      </w:r>
      <w:r>
        <w:t xml:space="preserve"> </w:t>
      </w:r>
      <w:r>
        <w:t xml:space="preserve">consists of</w:t>
      </w:r>
    </w:p>
    <w:p>
      <w:pPr>
        <w:pStyle w:val="FirstParagraph"/>
      </w:pPr>
      <w:r>
        <w:t xml:space="preserve">Four assets, each built once, then maintained: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statewide surface</w:t>
      </w:r>
      <w:r>
        <w:t xml:space="preserve"> </w:t>
      </w:r>
      <w:r>
        <w:t xml:space="preserve">— every rooftop in Tennessee placed in its DOR polygon, measured to</w:t>
      </w:r>
      <w:r>
        <w:t xml:space="preserve"> </w:t>
      </w:r>
      <w:r>
        <w:t xml:space="preserve">its nearest seam, cross-checked against the Comptroller and 911 layers, and scored. Roughly 3.3</w:t>
      </w:r>
      <w:r>
        <w:t xml:space="preserve"> </w:t>
      </w:r>
      <w:r>
        <w:t xml:space="preserve">million address points across 95 counties. Refreshed quarterly.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business universe</w:t>
      </w:r>
      <w:r>
        <w:t xml:space="preserve"> </w:t>
      </w:r>
      <w:r>
        <w:t xml:space="preserve">— every active for-profit entity (SOS) plus every 911 business label,</w:t>
      </w:r>
      <w:r>
        <w:t xml:space="preserve"> </w:t>
      </w:r>
      <w:r>
        <w:t xml:space="preserve">city roster and permit layer that exists, geocoded to a rooftop. Refreshed quarterly.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jurisdiction views</w:t>
      </w:r>
      <w:r>
        <w:t xml:space="preserve"> </w:t>
      </w:r>
      <w:r>
        <w:t xml:space="preserve">— 95 county workbenches and 345 city workbenches cut from the same</w:t>
      </w:r>
      <w:r>
        <w:t xml:space="preserve"> </w:t>
      </w:r>
      <w:r>
        <w:t xml:space="preserve">surface (a city’s view is the same data filtered to its situs code, with both directions shown).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operating loop</w:t>
      </w:r>
      <w:r>
        <w:t xml:space="preserve"> </w:t>
      </w:r>
      <w:r>
        <w:t xml:space="preserve">— roster intake, adjudication, correction packets, bulletins, calibration.</w:t>
      </w:r>
    </w:p>
    <w:bookmarkEnd w:id="21"/>
    <w:bookmarkStart w:id="26" w:name="the-build-by-phase"/>
    <w:p>
      <w:pPr>
        <w:pStyle w:val="Heading2"/>
      </w:pPr>
      <w:r>
        <w:t xml:space="preserve">The build, by phase</w:t>
      </w:r>
    </w:p>
    <w:bookmarkStart w:id="22" w:name="phase-1-statewide-surface-weeks-14"/>
    <w:p>
      <w:pPr>
        <w:pStyle w:val="Heading3"/>
      </w:pPr>
      <w:r>
        <w:t xml:space="preserve">Phase 1 — statewide surface (weeks 1–4)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Pull NG911 address points + roads for 91 remaining counties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fetch_county.py --live</w:t>
            </w:r>
            <w:r>
              <w:t xml:space="preserve"> </w:t>
            </w:r>
            <w:r>
              <w:t xml:space="preserve">on a machine with internet (GitHub Actions or a $20/mo VM); ~3M points, ~1.5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engineer-week, mostly wall-clock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 91 county configs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Script: situs codes and names come straight from the DOR layer; USPS-only places derived automatically (below); city layers discovered by ArcGIS Online search per county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engineer-week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Automate the postal-county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every</w:t>
            </w:r>
            <w:r>
              <w:t xml:space="preserve"> </w:t>
            </w:r>
            <w:r>
              <w:rPr>
                <w:rStyle w:val="VerbatimChar"/>
              </w:rPr>
              <w:t xml:space="preserve">Post_City + ZIP</w:t>
            </w:r>
            <w:r>
              <w:t xml:space="preserve"> </w:t>
            </w:r>
            <w:r>
              <w:t xml:space="preserve">pair across all 3M rooftops, the majority county is the postal home county. Replaces every hand-typed list; also produces the multi-county-city exceptions (Goodlettsville, Portland, White House) automatically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Consolidated-government 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Davidson (Metro) and Moore (Lynchburg-Moore) need</w:t>
            </w:r>
            <w:r>
              <w:t xml:space="preserve"> </w:t>
            </w:r>
            <w:r>
              <w:rPr>
                <w:rStyle w:val="VerbatimChar"/>
              </w:rPr>
              <w:t xml:space="preserve">situs_merge</w:t>
            </w:r>
            <w:r>
              <w:t xml:space="preserve">; Hartsville-Trousdale is the third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 all 95; publish 95 free boundary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Batch; ~6 hours compute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</w:t>
            </w:r>
          </w:p>
        </w:tc>
      </w:tr>
    </w:tbl>
    <w:p>
      <w:pPr>
        <w:pStyle w:val="BodyText"/>
      </w:pPr>
      <w:r>
        <w:t xml:space="preserve">Deliverable: the free tier live for every county — the lead-generation engine.</w:t>
      </w:r>
    </w:p>
    <w:bookmarkEnd w:id="22"/>
    <w:bookmarkStart w:id="23" w:name="Xd5ee9f39418276b61e70d3d39349f66fa580e01"/>
    <w:p>
      <w:pPr>
        <w:pStyle w:val="Heading3"/>
      </w:pPr>
      <w:r>
        <w:t xml:space="preserve">Phase 2 — business universe and municipal views (weeks 4–8)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SOS entity files for all 95 counties as the primary business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have ~75; obtain the rest through Civvix’s existing SOS channel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Discover per-county 911 business labels, city rosters, permit layers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ArcGIS Online search script, reviewed by hand; Hendersonville-style situs rosters are gold when 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345 city workbenches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pipeline,</w:t>
            </w:r>
            <w:r>
              <w:t xml:space="preserve"> </w:t>
            </w:r>
            <w:r>
              <w:rPr>
                <w:rStyle w:val="VerbatimChar"/>
              </w:rPr>
              <w:t xml:space="preserve">--jurisdiction city:8305</w:t>
            </w:r>
            <w:r>
              <w:t xml:space="preserve">; shows the city’s coded-vs-measured both ways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Parcel join where free (86 Comptroller counties + Davidson, Montgomery, Rutherford)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parcel ID to the evidence packet and +5 to the score</w:t>
            </w:r>
          </w:p>
        </w:tc>
      </w:tr>
    </w:tbl>
    <w:bookmarkEnd w:id="23"/>
    <w:bookmarkStart w:id="24" w:name="phase-3-operations-weeks-612"/>
    <w:p>
      <w:pPr>
        <w:pStyle w:val="Heading3"/>
      </w:pPr>
      <w:r>
        <w:t xml:space="preserve">Phase 3 — operations (weeks 6–12)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Scheduled 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Actions cron (weekly signal poll; quarterly bulk); snapshots to S3; catalog in git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Roster intake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workbench’s browser-side join for small jurisdictions; a county-side script for big ones. Never on Civvix infrastructure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Adjudication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 says ~0.3% of placed licensed businesses are miscoded. Statewide (~350k active entities) that’s ~1,000–1,500 findings a year at full penetration. One analyst handles that; two at 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Correction packets + letters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 from the workbench; county signs and sends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Calibration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each jurisdiction’s first roster; published to the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Financial Control 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person owns it; the same three questions (contractor designation, lookback authority, PO Box rule) answered once for everyone</w:t>
            </w:r>
          </w:p>
        </w:tc>
      </w:tr>
    </w:tbl>
    <w:bookmarkEnd w:id="24"/>
    <w:bookmarkStart w:id="25" w:name="X381b50d7fbb6c27130760595ed2fe28637d0738"/>
    <w:p>
      <w:pPr>
        <w:pStyle w:val="Heading3"/>
      </w:pPr>
      <w:r>
        <w:t xml:space="preserve">Phase 4 — the annual license and TPP check (parallel, from week 8)</w:t>
      </w:r>
    </w:p>
    <w:p>
      <w:pPr>
        <w:pStyle w:val="FirstParagraph"/>
      </w:pPr>
      <w:r>
        <w:t xml:space="preserve">The situs surface is also the denominator Civvix has been missing. Every business is now a rooftop</w:t>
      </w:r>
      <w:r>
        <w:t xml:space="preserve"> </w:t>
      </w:r>
      <w:r>
        <w:t xml:space="preserve">with a jurisdiction. That answers, per business: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Business license</w:t>
      </w:r>
      <w:r>
        <w:t xml:space="preserve"> </w:t>
      </w:r>
      <w:r>
        <w:t xml:space="preserve">— which county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which city should have issued one (T.C.A. § 67-4-708),</w:t>
      </w:r>
      <w:r>
        <w:t xml:space="preserve"> </w:t>
      </w:r>
      <w:r>
        <w:t xml:space="preserve">and whether the clerk’s roster shows it. The SOS entity file against the clerk’s roster, placed on</w:t>
      </w:r>
      <w:r>
        <w:t xml:space="preserve"> </w:t>
      </w:r>
      <w:r>
        <w:t xml:space="preserve">the map, is the discovery product Civvix already sells — now with jurisdiction certainty.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TPP</w:t>
      </w:r>
      <w:r>
        <w:t xml:space="preserve"> </w:t>
      </w:r>
      <w:r>
        <w:t xml:space="preserve">— which assessor’s roll the personalty belongs on (§ 67-5-502 situs; home-base rule), and</w:t>
      </w:r>
      <w:r>
        <w:t xml:space="preserve"> </w:t>
      </w:r>
      <w:r>
        <w:t xml:space="preserve">whether a schedule was filed. Same placed universe against the assessor’s TPP roll.</w:t>
      </w:r>
    </w:p>
    <w:p>
      <w:pPr>
        <w:pStyle w:val="FirstParagraph"/>
      </w:pPr>
      <w:r>
        <w:t xml:space="preserve">One annual run per jurisdiction: placed universe × license roster × TPP roll → three exception</w:t>
      </w:r>
      <w:r>
        <w:t xml:space="preserve"> </w:t>
      </w:r>
      <w:r>
        <w:t xml:space="preserve">lists from one geography. The situs subscription is the quarterly relationship; the annual check is</w:t>
      </w:r>
      <w:r>
        <w:t xml:space="preserve"> </w:t>
      </w:r>
      <w:r>
        <w:t xml:space="preserve">the recovery event. They share every byte of infrastructure.</w:t>
      </w:r>
    </w:p>
    <w:bookmarkEnd w:id="25"/>
    <w:bookmarkEnd w:id="26"/>
    <w:bookmarkStart w:id="27" w:name="what-it-costs"/>
    <w:p>
      <w:pPr>
        <w:pStyle w:val="Heading2"/>
      </w:pPr>
      <w:r>
        <w:t xml:space="preserve">What it costs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Year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Engineering (Marty + 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phases above, ~3 engineer-months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FTE maintenance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from month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at 40+ jurisdictions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 + a small VM/Actions:</w:t>
            </w:r>
            <w:r>
              <w:t xml:space="preserve"> </w:t>
            </w:r>
            <w:r>
              <w:rPr>
                <w:bCs/>
                <w:b/>
              </w:rPr>
              <w:t xml:space="preserve">under $500/mo</w:t>
            </w:r>
            <w:r>
              <w:t xml:space="preserve"> </w:t>
            </w:r>
            <w:r>
              <w:t xml:space="preserve">at full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$0</w:t>
            </w:r>
            <w:r>
              <w:t xml:space="preserve"> </w:t>
            </w:r>
            <w:r>
              <w:t xml:space="preserve">for the surface; ~$2–3K one-time reserve for the three or four parcel gaps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recurring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~$3–5K/yr (see insurance memo)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Tennessee counsel on the § 67-1-1704(e) reuse question and the engagement letter — 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7"/>
    <w:bookmarkStart w:id="28" w:name="sequencing-that-compounds"/>
    <w:p>
      <w:pPr>
        <w:pStyle w:val="Heading2"/>
      </w:pPr>
      <w:r>
        <w:t xml:space="preserve">Sequencing that compounds</w:t>
      </w:r>
    </w:p>
    <w:p>
      <w:pPr>
        <w:pStyle w:val="FirstParagraph"/>
      </w:pPr>
      <w:r>
        <w:t xml:space="preserve">Start from the Wilson seam outward. Every county line has two sides, and a finding on one side is a</w:t>
      </w:r>
      <w:r>
        <w:t xml:space="preserve"> </w:t>
      </w:r>
      <w:r>
        <w:t xml:space="preserve">finding on the other: the Lebanon Road / Old Hickory corridor is simultaneously a Wilson and a</w:t>
      </w:r>
      <w:r>
        <w:t xml:space="preserve"> </w:t>
      </w:r>
      <w:r>
        <w:t xml:space="preserve">Davidson matter; Brentwood’s ZIP spilling into south Davidson (7,481 rooftops) is a Davidson and a</w:t>
      </w:r>
      <w:r>
        <w:t xml:space="preserve"> </w:t>
      </w:r>
      <w:r>
        <w:t xml:space="preserve">Williamson matter. Middle Tennessee’s ring — Davidson, Williamson, Rutherford, Wilson, Sumner,</w:t>
      </w:r>
      <w:r>
        <w:t xml:space="preserve"> </w:t>
      </w:r>
      <w:r>
        <w:t xml:space="preserve">Robertson, Cheatham, Maury — is 8 counties, ~1.3M rooftops, and the densest seams in the state. Sign</w:t>
      </w:r>
      <w:r>
        <w:t xml:space="preserve"> </w:t>
      </w:r>
      <w:r>
        <w:t xml:space="preserve">those and the map sells itself to the next ring.</w:t>
      </w:r>
    </w:p>
    <w:p>
      <w:pPr>
        <w:pStyle w:val="BodyText"/>
      </w:pPr>
      <w:r>
        <w:t xml:space="preserve">Then the other three metros (Knox, Hamilton, Shelby) — each is one county plus a city with its own</w:t>
      </w:r>
      <w:r>
        <w:t xml:space="preserve"> </w:t>
      </w:r>
      <w:r>
        <w:t xml:space="preserve">open data — then the rest by seam density.</w:t>
      </w:r>
    </w:p>
    <w:bookmarkEnd w:id="28"/>
    <w:bookmarkStart w:id="29" w:name="what-sign-up-looks-like"/>
    <w:p>
      <w:pPr>
        <w:pStyle w:val="Heading2"/>
      </w:pPr>
      <w:r>
        <w:t xml:space="preserve">What</w:t>
      </w:r>
      <w:r>
        <w:t xml:space="preserve"> </w:t>
      </w:r>
      <w:r>
        <w:t xml:space="preserve">“</w:t>
      </w:r>
      <w:r>
        <w:t xml:space="preserve">sign up</w:t>
      </w:r>
      <w:r>
        <w:t xml:space="preserve">”</w:t>
      </w:r>
      <w:r>
        <w:t xml:space="preserve"> </w:t>
      </w:r>
      <w:r>
        <w:t xml:space="preserve">looks like</w:t>
      </w:r>
    </w:p>
    <w:p>
      <w:pPr>
        <w:numPr>
          <w:ilvl w:val="0"/>
          <w:numId w:val="1003"/>
        </w:numPr>
        <w:pStyle w:val="Compact"/>
      </w:pPr>
      <w:r>
        <w:t xml:space="preserve">A finance director opens their county’s free boundary report. It shows the seams, the exposure</w:t>
      </w:r>
      <w:r>
        <w:t xml:space="preserve"> </w:t>
      </w:r>
      <w:r>
        <w:t xml:space="preserve">ranking, the State-data conflicts, and the count of named businesses in each class.</w:t>
      </w:r>
    </w:p>
    <w:p>
      <w:pPr>
        <w:numPr>
          <w:ilvl w:val="0"/>
          <w:numId w:val="1003"/>
        </w:numPr>
        <w:pStyle w:val="Compact"/>
      </w:pPr>
      <w:r>
        <w:t xml:space="preserve">They click</w:t>
      </w:r>
      <w:r>
        <w:t xml:space="preserve"> </w:t>
      </w:r>
      <w:r>
        <w:t xml:space="preserve">“</w:t>
      </w:r>
      <w:r>
        <w:t xml:space="preserve">Start monitoring.</w:t>
      </w:r>
      <w:r>
        <w:t xml:space="preserve">”</w:t>
      </w:r>
      <w:r>
        <w:t xml:space="preserve"> </w:t>
      </w:r>
      <w:r>
        <w:t xml:space="preserve">Fixed annual fee under the bid threshold (pricing memo). An</w:t>
      </w:r>
      <w:r>
        <w:t xml:space="preserve"> </w:t>
      </w:r>
      <w:r>
        <w:t xml:space="preserve">engagement letter with the data-handling protocol and the client-furnishes-GIS clause.</w:t>
      </w:r>
    </w:p>
    <w:p>
      <w:pPr>
        <w:numPr>
          <w:ilvl w:val="0"/>
          <w:numId w:val="1003"/>
        </w:numPr>
        <w:pStyle w:val="Compact"/>
      </w:pPr>
      <w:r>
        <w:t xml:space="preserve">They request their situs report through REP (we provide the request; they send it).</w:t>
      </w:r>
    </w:p>
    <w:p>
      <w:pPr>
        <w:numPr>
          <w:ilvl w:val="0"/>
          <w:numId w:val="1003"/>
        </w:numPr>
        <w:pStyle w:val="Compact"/>
      </w:pPr>
      <w:r>
        <w:t xml:space="preserve">First roster join, adjudicated queue, correction packets — within two weeks of the roster.</w:t>
      </w:r>
    </w:p>
    <w:p>
      <w:pPr>
        <w:numPr>
          <w:ilvl w:val="0"/>
          <w:numId w:val="1003"/>
        </w:numPr>
        <w:pStyle w:val="Compact"/>
      </w:pPr>
      <w:r>
        <w:t xml:space="preserve">Quarterly thereafter: refresh, re-measure, new/resolved/moved, packets, bulletin.</w:t>
      </w:r>
    </w:p>
    <w:p>
      <w:pPr>
        <w:numPr>
          <w:ilvl w:val="0"/>
          <w:numId w:val="1003"/>
        </w:numPr>
        <w:pStyle w:val="Compact"/>
      </w:pPr>
      <w:r>
        <w:t xml:space="preserve">Annually: the license and TPP check against the same placed universe.</w:t>
      </w:r>
    </w:p>
    <w:bookmarkEnd w:id="29"/>
    <w:bookmarkStart w:id="30" w:name="what-could-stop-it"/>
    <w:p>
      <w:pPr>
        <w:pStyle w:val="Heading2"/>
      </w:pPr>
      <w:r>
        <w:t xml:space="preserve">What could stop it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§ 67-1-1704(e) reuse across jurisdictions</w:t>
      </w:r>
      <w:r>
        <w:t xml:space="preserve"> </w:t>
      </w:r>
      <w:r>
        <w:t xml:space="preserve">— get counsel’s answer before the second county</w:t>
      </w:r>
      <w:r>
        <w:t xml:space="preserve"> </w:t>
      </w:r>
      <w:r>
        <w:t xml:space="preserve">signs. The public surface is unaffected; the question is only about roster-derived facts.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Financial Control’s three unanswered questions</w:t>
      </w:r>
      <w:r>
        <w:t xml:space="preserve"> </w:t>
      </w:r>
      <w:r>
        <w:t xml:space="preserve">— one phone call.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Business universe quality</w:t>
      </w:r>
      <w:r>
        <w:t xml:space="preserve"> </w:t>
      </w:r>
      <w:r>
        <w:t xml:space="preserve">— the SOS file has holding companies and stale addresses; the</w:t>
      </w:r>
      <w:r>
        <w:t xml:space="preserve"> </w:t>
      </w:r>
      <w:r>
        <w:t xml:space="preserve">calibration loop is what keeps this honest, and it should be published to every client.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Adjudication discipline</w:t>
      </w:r>
      <w:r>
        <w:t xml:space="preserve"> </w:t>
      </w:r>
      <w:r>
        <w:t xml:space="preserve">— the felony exposure is personal. Two or three named people, a</w:t>
      </w:r>
      <w:r>
        <w:t xml:space="preserve"> </w:t>
      </w:r>
      <w:r>
        <w:t xml:space="preserve">written protocol, no shortcuts.</w:t>
      </w:r>
    </w:p>
    <w:bookmarkEnd w:id="30"/>
    <w:sectPr>
      <w:pgSz w:h="15840" w:w="12240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/>
    </w:pPr>
    <w:rPr>
      <w:rFonts w:ascii="Calibri" w:cs="Calibri" w:eastAsia="Calibri" w:hAnsi="Calibri"/>
      <w:b w:val="0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cs="Calibri" w:eastAsia="Calibri" w:hAnsi="Calibri"/>
      <w:b w:val="0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cs="Calibri" w:eastAsia="Calibri" w:hAnsi="Calibri"/>
      <w:b w:val="0"/>
      <w:sz w:val="22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="Calibri" w:cstheme="majorBidi" w:eastAsia="Calibri" w:eastAsiaTheme="majorEastAsia" w:hAnsi="Calibri" w:hAnsiTheme="majorHAnsi"/>
      <w:b/>
      <w:bCs/>
      <w:color w:val="16202B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280"/>
      <w:outlineLvl w:val="0"/>
    </w:pPr>
    <w:rPr>
      <w:rFonts w:ascii="Calibri" w:asciiTheme="majorHAnsi" w:cs="Calibri" w:cstheme="majorBidi" w:eastAsia="Calibri" w:eastAsiaTheme="majorEastAsia" w:hAnsi="Calibri" w:hAnsiTheme="majorHAnsi"/>
      <w:b/>
      <w:bCs/>
      <w:color w:val="16202B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80" w:before="280"/>
      <w:outlineLvl w:val="1"/>
    </w:pPr>
    <w:rPr>
      <w:rFonts w:ascii="Calibri" w:asciiTheme="majorHAnsi" w:cs="Calibri" w:cstheme="majorBidi" w:eastAsia="Calibri" w:eastAsiaTheme="majorEastAsia" w:hAnsi="Calibri" w:hAnsiTheme="majorHAnsi"/>
      <w:b/>
      <w:bCs/>
      <w:color w:val="1F5C7A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80"/>
      <w:outlineLvl w:val="2"/>
    </w:pPr>
    <w:rPr>
      <w:rFonts w:ascii="Calibri" w:asciiTheme="majorHAnsi" w:cs="Calibri" w:cstheme="majorBidi" w:eastAsia="Calibri" w:eastAsiaTheme="majorEastAsia" w:hAnsi="Calibri" w:hAnsiTheme="majorHAnsi"/>
      <w:b/>
      <w:bCs/>
      <w:color w:val="3D4B57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Tennessee Tip to Tip — Statewide Build-Out Strategy</dc:title>
  <dc:creator>Civvix Inc.</dc:creator>
  <cp:keywords/>
  <dcterms:created xsi:type="dcterms:W3CDTF">2026-09-13T01:43:28Z</dcterms:created>
  <dcterms:modified xsi:type="dcterms:W3CDTF">2026-09-13T01:43:28Z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September 2026</vt:lpwstr>
  </property>
</Properties>
</file>