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51" w:rsidRDefault="00570251">
      <w:r w:rsidRPr="0055387D">
        <w:rPr>
          <w:b/>
        </w:rPr>
        <w:t>Proposal:</w:t>
      </w:r>
      <w:r>
        <w:t xml:space="preserve"> </w:t>
      </w:r>
      <w:r w:rsidR="0017425D">
        <w:t xml:space="preserve">18f </w:t>
      </w:r>
      <w:r>
        <w:t>Agile Delivery Services</w:t>
      </w:r>
      <w:r w:rsidR="0017425D">
        <w:t xml:space="preserve"> BPA</w:t>
      </w:r>
    </w:p>
    <w:p w:rsidR="00B43740" w:rsidRDefault="00570251">
      <w:r w:rsidRPr="0055387D">
        <w:rPr>
          <w:b/>
        </w:rPr>
        <w:t>Prototype:</w:t>
      </w:r>
      <w:r>
        <w:t xml:space="preserve"> </w:t>
      </w:r>
      <w:r w:rsidR="0017425D">
        <w:t>ShopAware.gov</w:t>
      </w:r>
    </w:p>
    <w:p w:rsidR="0017425D" w:rsidRDefault="00570251">
      <w:r w:rsidRPr="0055387D">
        <w:rPr>
          <w:b/>
        </w:rPr>
        <w:t>Synopsis:</w:t>
      </w:r>
      <w:r w:rsidR="0055387D">
        <w:rPr>
          <w:b/>
        </w:rPr>
        <w:t xml:space="preserve"> </w:t>
      </w:r>
      <w:r w:rsidR="00F737FA">
        <w:t xml:space="preserve">The </w:t>
      </w:r>
      <w:r w:rsidR="0017425D">
        <w:t xml:space="preserve">concept starts with the development of a web service that receives a list of shopping list items (or any list of key words), </w:t>
      </w:r>
      <w:r w:rsidR="003F2045">
        <w:t>q</w:t>
      </w:r>
      <w:r w:rsidR="0017425D">
        <w:t>uer</w:t>
      </w:r>
      <w:r w:rsidR="003F2045">
        <w:t>ies</w:t>
      </w:r>
      <w:r w:rsidR="0017425D">
        <w:t xml:space="preserve"> the six open source FDA data</w:t>
      </w:r>
      <w:r w:rsidR="003F2045">
        <w:t xml:space="preserve"> APIs, and returns any data found.  This web service would be made publicly available to developers of shopping list apps to add value to their apps by providing this health-related information to their users. In addition, the web service would add value to any app containing items for which FDA health information would apply.</w:t>
      </w:r>
    </w:p>
    <w:p w:rsidR="0017425D" w:rsidRDefault="003F2045">
      <w:r>
        <w:t>ShopAware.gov is a</w:t>
      </w:r>
      <w:r w:rsidR="0032378F">
        <w:t xml:space="preserve"> prototype application designed to </w:t>
      </w:r>
      <w:r>
        <w:t>demonstrat</w:t>
      </w:r>
      <w:r w:rsidR="0032378F">
        <w:t>e</w:t>
      </w:r>
      <w:r>
        <w:t xml:space="preserve"> how this web service can be used. The </w:t>
      </w:r>
      <w:r w:rsidR="0017425D">
        <w:t>basic</w:t>
      </w:r>
      <w:r w:rsidR="00F737FA">
        <w:t xml:space="preserve"> function of the website is to </w:t>
      </w:r>
      <w:r w:rsidR="0017425D">
        <w:t xml:space="preserve">allow users to build </w:t>
      </w:r>
      <w:r w:rsidR="0032378F">
        <w:t xml:space="preserve">a </w:t>
      </w:r>
      <w:r w:rsidR="0017425D">
        <w:t xml:space="preserve">shopping list </w:t>
      </w:r>
      <w:r>
        <w:t xml:space="preserve">and </w:t>
      </w:r>
      <w:r w:rsidR="0017425D">
        <w:t xml:space="preserve">automatically </w:t>
      </w:r>
      <w:r>
        <w:t>receive</w:t>
      </w:r>
      <w:r w:rsidR="0017425D">
        <w:t xml:space="preserve"> FDA </w:t>
      </w:r>
      <w:r w:rsidR="0032378F">
        <w:t xml:space="preserve">health </w:t>
      </w:r>
      <w:r w:rsidR="0017425D">
        <w:t xml:space="preserve">alert information </w:t>
      </w:r>
      <w:r w:rsidR="0032378F">
        <w:t xml:space="preserve">for </w:t>
      </w:r>
      <w:r w:rsidR="0017425D">
        <w:t xml:space="preserve">drugs, food and medical devices on their list. The alert information </w:t>
      </w:r>
      <w:r w:rsidR="0032378F">
        <w:t xml:space="preserve">displayed </w:t>
      </w:r>
      <w:r w:rsidR="0017425D">
        <w:t>includes recalls, adverse events and possible adverse reactions to drugs</w:t>
      </w:r>
      <w:r w:rsidR="00F737FA">
        <w:t xml:space="preserve">. </w:t>
      </w:r>
      <w:r w:rsidR="0019771F">
        <w:t xml:space="preserve">The </w:t>
      </w:r>
      <w:r w:rsidR="00F737FA">
        <w:t>user enter</w:t>
      </w:r>
      <w:r w:rsidR="0017425D">
        <w:t>s</w:t>
      </w:r>
      <w:r w:rsidR="00F737FA">
        <w:t xml:space="preserve"> </w:t>
      </w:r>
      <w:r w:rsidR="0017425D">
        <w:t>their shopping list items in free form text.</w:t>
      </w:r>
      <w:r w:rsidR="0019771F">
        <w:t xml:space="preserve"> </w:t>
      </w:r>
      <w:r w:rsidR="0032378F">
        <w:t>As each item is entered, the application sends the name of the item to the web service, which may return data related to that item.</w:t>
      </w:r>
      <w:r w:rsidR="00CB0B07">
        <w:t xml:space="preserve"> </w:t>
      </w:r>
      <w:r w:rsidR="0017425D">
        <w:t xml:space="preserve">Items for which FDA alert information </w:t>
      </w:r>
      <w:r w:rsidR="0032378F">
        <w:t>is returned</w:t>
      </w:r>
      <w:r w:rsidR="0017425D">
        <w:t xml:space="preserve"> are flagged with an information icon. Clicking on the icon displays the full detail about the alerts and plots their locations on a map of the United States. Users can save their shopping lists if they create an account.  When they return to the site they log in to retrieve their list</w:t>
      </w:r>
      <w:r>
        <w:t xml:space="preserve"> and get the latest FDA information for items on the list</w:t>
      </w:r>
      <w:r w:rsidR="0017425D"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378F" w:rsidRPr="0032378F" w:rsidTr="006D6B50">
        <w:tc>
          <w:tcPr>
            <w:tcW w:w="4675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Topic</w:t>
            </w:r>
          </w:p>
        </w:tc>
        <w:tc>
          <w:tcPr>
            <w:tcW w:w="4675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Findings</w:t>
            </w:r>
          </w:p>
        </w:tc>
      </w:tr>
      <w:tr w:rsidR="0032378F" w:rsidRPr="0032378F" w:rsidTr="006D6B50"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Target Market</w:t>
            </w:r>
          </w:p>
        </w:tc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-Parents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-People currently using prescription medication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-People with chronic health issues, or diseases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-People over 22</w:t>
            </w:r>
          </w:p>
        </w:tc>
      </w:tr>
      <w:tr w:rsidR="0032378F" w:rsidRPr="0032378F" w:rsidTr="006D6B50"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Site Look</w:t>
            </w:r>
          </w:p>
        </w:tc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-Simple to navigate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-More information on demand, don’t clog front page (google home page)</w:t>
            </w:r>
          </w:p>
        </w:tc>
      </w:tr>
      <w:tr w:rsidR="0032378F" w:rsidRPr="0032378F" w:rsidTr="006D6B50"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Tool advantages</w:t>
            </w:r>
          </w:p>
        </w:tc>
        <w:tc>
          <w:tcPr>
            <w:tcW w:w="467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-Search a list that you care about for recalls, versus see all recalls and have to determine what’s useful to you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-See on a map where the latest recalls or warnings happened</w:t>
            </w:r>
            <w:r w:rsidR="00897FD0">
              <w:rPr>
                <w:rFonts w:ascii="Calibri Light" w:eastAsia="Calibri" w:hAnsi="Calibri Light" w:cs="Times New Roman"/>
                <w:sz w:val="20"/>
                <w:szCs w:val="20"/>
              </w:rPr>
              <w:t xml:space="preserve"> so you can relate it to your location</w:t>
            </w:r>
          </w:p>
        </w:tc>
      </w:tr>
    </w:tbl>
    <w:p w:rsidR="0032378F" w:rsidRDefault="0032378F" w:rsidP="0032378F">
      <w:pPr>
        <w:spacing w:after="160" w:line="259" w:lineRule="auto"/>
        <w:rPr>
          <w:rFonts w:ascii="Calibri Light" w:eastAsia="Calibri" w:hAnsi="Calibri Light" w:cs="Times New Roman"/>
          <w:sz w:val="20"/>
          <w:szCs w:val="20"/>
        </w:rPr>
      </w:pPr>
    </w:p>
    <w:p w:rsidR="0032378F" w:rsidRDefault="0032378F" w:rsidP="0032378F">
      <w:pPr>
        <w:spacing w:after="160" w:line="259" w:lineRule="auto"/>
        <w:rPr>
          <w:rFonts w:ascii="Calibri Light" w:eastAsia="Calibri" w:hAnsi="Calibri Light" w:cs="Times New Roman"/>
          <w:sz w:val="20"/>
          <w:szCs w:val="20"/>
        </w:rPr>
      </w:pPr>
      <w:r>
        <w:rPr>
          <w:rFonts w:ascii="Calibri Light" w:eastAsia="Calibri" w:hAnsi="Calibri Light" w:cs="Times New Roman"/>
          <w:sz w:val="20"/>
          <w:szCs w:val="20"/>
        </w:rPr>
        <w:t>Why would people use this service?</w:t>
      </w: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330"/>
        <w:gridCol w:w="4315"/>
      </w:tblGrid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Resource Name</w:t>
            </w:r>
          </w:p>
        </w:tc>
        <w:tc>
          <w:tcPr>
            <w:tcW w:w="3330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Link</w:t>
            </w:r>
          </w:p>
        </w:tc>
        <w:tc>
          <w:tcPr>
            <w:tcW w:w="4315" w:type="dxa"/>
          </w:tcPr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  <w:r w:rsidRPr="0032378F"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  <w:t>Findings</w:t>
            </w:r>
          </w:p>
          <w:p w:rsidR="0032378F" w:rsidRPr="0032378F" w:rsidRDefault="0032378F" w:rsidP="0032378F">
            <w:pPr>
              <w:jc w:val="center"/>
              <w:rPr>
                <w:rFonts w:ascii="Calibri Light" w:eastAsia="Calibri" w:hAnsi="Calibri Light" w:cs="Times New Roman"/>
                <w:b/>
                <w:sz w:val="20"/>
                <w:szCs w:val="20"/>
                <w:u w:val="single"/>
              </w:rPr>
            </w:pP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U.S. Grocery Shopping Trends 2014 Overview</w:t>
            </w:r>
          </w:p>
        </w:tc>
        <w:tc>
          <w:tcPr>
            <w:tcW w:w="3330" w:type="dxa"/>
          </w:tcPr>
          <w:p w:rsidR="0032378F" w:rsidRPr="0032378F" w:rsidRDefault="000C4BDC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7" w:history="1">
              <w:r w:rsidR="0032378F"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http://www.fmi.org/docs/default-source/research/presentation.pdf?sfvrsn=0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-social networks/media drives decision making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-mid market stores have been stagnant or shrunk, premium stores have grown, value stores have grown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-consumers increasingly value “wellness”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Reviews of existing FDA application tracking drug shortages</w:t>
            </w:r>
          </w:p>
        </w:tc>
        <w:tc>
          <w:tcPr>
            <w:tcW w:w="3330" w:type="dxa"/>
          </w:tcPr>
          <w:p w:rsidR="0032378F" w:rsidRPr="0032378F" w:rsidRDefault="000C4BDC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8" w:history="1">
              <w:r w:rsidR="0032378F"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https://play.google.com/store/apps/details?id=gov.fda.drugshortages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-don’t want to have to log in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-retail information is important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-less information than on the website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-laggy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-just “ok”</w:t>
            </w: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lastRenderedPageBreak/>
              <w:t>Other food recall tool</w:t>
            </w:r>
          </w:p>
        </w:tc>
        <w:tc>
          <w:tcPr>
            <w:tcW w:w="3330" w:type="dxa"/>
          </w:tcPr>
          <w:p w:rsidR="0032378F" w:rsidRPr="0032378F" w:rsidRDefault="000C4BDC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9" w:history="1">
              <w:r w:rsidR="0032378F"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http://www.recalls.gov/food.html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-sources data from multiple sources (FDA, FSIS, CDC, HHS)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-can see all recent activity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-no way to see if it is relevant to my shopping interests</w:t>
            </w: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Potential statistics for target market</w:t>
            </w:r>
          </w:p>
        </w:tc>
        <w:tc>
          <w:tcPr>
            <w:tcW w:w="3330" w:type="dxa"/>
          </w:tcPr>
          <w:p w:rsidR="0032378F" w:rsidRPr="0032378F" w:rsidRDefault="000C4BDC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10" w:history="1">
              <w:r w:rsidR="0032378F"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http://poshonabudget.com/2011/04/50-statistics-about-grocery-shopping-that-you-may-want-to-know-about.html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Times New Roman" w:hAnsi="Calibri Light" w:cs="Times New Roman"/>
                <w:sz w:val="20"/>
                <w:szCs w:val="20"/>
              </w:rPr>
              <w:t>-</w:t>
            </w: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83% of shoppers make their purchase decisions at home.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-94% prepare a written list before leaving the house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-Almost half of the grocery shoppers will use coupons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-Coupons.com saved shoppers 1.2 billion dollars in 2010.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-Coupons.com visitors are 69% female, with 40% making $75,000 or more.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-Grocery iQ ap has had over 2 million downloads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-Women spent an average of 8 minutes a day grocery shopping, and men, 4 minutes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-About 18 percent of women grocery shop on a given day for an average of 45 minutes compared with 11 percent of men who averaged 39 minutes.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-Employed women spent slightly less time on these activities than other women.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</w:p>
        </w:tc>
      </w:tr>
      <w:tr w:rsidR="0032378F" w:rsidRPr="0032378F" w:rsidTr="006D6B50">
        <w:tc>
          <w:tcPr>
            <w:tcW w:w="170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Public health related application data</w:t>
            </w:r>
          </w:p>
        </w:tc>
        <w:tc>
          <w:tcPr>
            <w:tcW w:w="3330" w:type="dxa"/>
          </w:tcPr>
          <w:p w:rsidR="0032378F" w:rsidRPr="0032378F" w:rsidRDefault="000C4BDC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hyperlink r:id="rId11" w:history="1">
              <w:r w:rsidR="0032378F" w:rsidRPr="0032378F">
                <w:rPr>
                  <w:rStyle w:val="Hyperlink"/>
                  <w:rFonts w:ascii="Calibri Light" w:eastAsia="Calibri" w:hAnsi="Calibri Light" w:cs="Times New Roman"/>
                  <w:sz w:val="20"/>
                  <w:szCs w:val="20"/>
                </w:rPr>
                <w:t>http://thenationshealth.aphapublications.org/content/41/8/1.3.full</w:t>
              </w:r>
            </w:hyperlink>
          </w:p>
        </w:tc>
        <w:tc>
          <w:tcPr>
            <w:tcW w:w="4315" w:type="dxa"/>
          </w:tcPr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-35% of adults in the US have a smartphone, that number anticipated to grow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-25% of smartphone owners go online using their phones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-similar “awareness of things that may interest me apps” “Outbreaks Near Me”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-App development a hot topic in government agencies. Data has been made available to app developers, EPA announced the launch of Apps for the Environment, a challenge to present EPA data in new and innovative ways</w:t>
            </w:r>
          </w:p>
          <w:p w:rsidR="0032378F" w:rsidRPr="0032378F" w:rsidRDefault="0032378F" w:rsidP="0032378F">
            <w:pPr>
              <w:rPr>
                <w:rFonts w:ascii="Calibri Light" w:eastAsia="Calibri" w:hAnsi="Calibri Light" w:cs="Times New Roman"/>
                <w:sz w:val="20"/>
                <w:szCs w:val="20"/>
              </w:rPr>
            </w:pPr>
            <w:r w:rsidRPr="0032378F">
              <w:rPr>
                <w:rFonts w:ascii="Calibri Light" w:eastAsia="Calibri" w:hAnsi="Calibri Light" w:cs="Times New Roman"/>
                <w:sz w:val="20"/>
                <w:szCs w:val="20"/>
              </w:rPr>
              <w:t>-Make sure the apps we create are useful and science-based</w:t>
            </w:r>
          </w:p>
        </w:tc>
      </w:tr>
    </w:tbl>
    <w:p w:rsidR="0032378F" w:rsidRPr="0032378F" w:rsidRDefault="0032378F" w:rsidP="0032378F">
      <w:pPr>
        <w:spacing w:after="160" w:line="259" w:lineRule="auto"/>
        <w:rPr>
          <w:rFonts w:ascii="Calibri" w:eastAsia="Calibri" w:hAnsi="Calibri" w:cs="Times New Roman"/>
        </w:rPr>
      </w:pPr>
    </w:p>
    <w:p w:rsidR="0019771F" w:rsidRDefault="0019771F">
      <w:r>
        <w:t>The website utilize</w:t>
      </w:r>
      <w:r w:rsidR="0017425D">
        <w:t>s</w:t>
      </w:r>
      <w:r>
        <w:t xml:space="preserve"> “human-centered” </w:t>
      </w:r>
      <w:r w:rsidR="0003716D">
        <w:t>(or all-inclusive)</w:t>
      </w:r>
      <w:r w:rsidR="009E7760">
        <w:t xml:space="preserve"> and usability</w:t>
      </w:r>
      <w:r w:rsidR="0003716D">
        <w:t xml:space="preserve"> </w:t>
      </w:r>
      <w:r>
        <w:t>principles such as the following:</w:t>
      </w:r>
    </w:p>
    <w:p w:rsidR="009E7760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Equitable</w:t>
      </w:r>
      <w:r w:rsidR="0019771F" w:rsidRPr="009E7760">
        <w:rPr>
          <w:b/>
        </w:rPr>
        <w:t xml:space="preserve"> use:</w:t>
      </w:r>
      <w:r w:rsidR="0019771F">
        <w:t xml:space="preserve"> doesn’t disadvantage or </w:t>
      </w:r>
      <w:r>
        <w:t>stigmatize</w:t>
      </w:r>
      <w:r w:rsidR="009E7760">
        <w:t>, easily communicates information regardless of users sensory abilities</w:t>
      </w:r>
    </w:p>
    <w:p w:rsidR="0019771F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Flexibility</w:t>
      </w:r>
      <w:r w:rsidR="0019771F" w:rsidRPr="009E7760">
        <w:rPr>
          <w:b/>
        </w:rPr>
        <w:t xml:space="preserve"> in use:</w:t>
      </w:r>
      <w:r w:rsidR="0019771F">
        <w:t xml:space="preserve"> wide range of skill levels for user</w:t>
      </w:r>
      <w:r w:rsidR="009E7760">
        <w:t xml:space="preserve">, </w:t>
      </w:r>
      <w:r w:rsidR="009E7760" w:rsidRPr="009E7760">
        <w:t>how fast a user who has never seen the user interface before can accomplish basic tasks</w:t>
      </w:r>
      <w:r w:rsidR="009E7760">
        <w:t xml:space="preserve"> and how</w:t>
      </w:r>
      <w:r w:rsidR="009E7760" w:rsidRPr="009E7760">
        <w:t xml:space="preserve"> fast an experienced user can accomplish tasks</w:t>
      </w:r>
    </w:p>
    <w:p w:rsidR="00F737FA" w:rsidRDefault="0003716D" w:rsidP="0003716D">
      <w:pPr>
        <w:pStyle w:val="ListParagraph"/>
        <w:numPr>
          <w:ilvl w:val="0"/>
          <w:numId w:val="1"/>
        </w:numPr>
      </w:pPr>
      <w:r w:rsidRPr="009E7760">
        <w:rPr>
          <w:b/>
        </w:rPr>
        <w:t xml:space="preserve">Simple intuitive </w:t>
      </w:r>
      <w:r w:rsidR="009E7760" w:rsidRPr="009E7760">
        <w:rPr>
          <w:b/>
        </w:rPr>
        <w:t>design:</w:t>
      </w:r>
      <w:r w:rsidR="00F737FA">
        <w:t xml:space="preserve"> </w:t>
      </w:r>
      <w:r w:rsidR="009E7760">
        <w:t>effortless understanding of architecture and navigation</w:t>
      </w:r>
      <w:r w:rsidR="00B5476E">
        <w:t xml:space="preserve"> of site</w:t>
      </w:r>
    </w:p>
    <w:p w:rsidR="009E7760" w:rsidRPr="009E7760" w:rsidRDefault="009E7760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Memorability:</w:t>
      </w:r>
      <w:r w:rsidRPr="009E7760">
        <w:t xml:space="preserve"> after visiting the site, if a user can remember enough to use it effectively in future visits</w:t>
      </w:r>
    </w:p>
    <w:p w:rsidR="0003716D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Tolerance for error</w:t>
      </w:r>
      <w:r w:rsidR="009E7760" w:rsidRPr="009E7760">
        <w:rPr>
          <w:b/>
        </w:rPr>
        <w:t>:</w:t>
      </w:r>
      <w:r w:rsidR="009E7760">
        <w:t xml:space="preserve"> </w:t>
      </w:r>
      <w:r w:rsidR="009E7760" w:rsidRPr="009E7760">
        <w:t>how often users make errors while using the system, how serious the errors are, and how users recover from the errors</w:t>
      </w:r>
    </w:p>
    <w:p w:rsidR="0003716D" w:rsidRDefault="009E7760" w:rsidP="0003716D">
      <w:pPr>
        <w:pStyle w:val="ListParagraph"/>
        <w:numPr>
          <w:ilvl w:val="0"/>
          <w:numId w:val="1"/>
        </w:numPr>
      </w:pPr>
      <w:r w:rsidRPr="009E7760">
        <w:rPr>
          <w:b/>
        </w:rPr>
        <w:t>Subjective satisfaction:</w:t>
      </w:r>
      <w:r>
        <w:t xml:space="preserve"> does the user like using the system</w:t>
      </w:r>
      <w:r w:rsidR="00897FD0">
        <w:t>?</w:t>
      </w:r>
    </w:p>
    <w:p w:rsidR="00D140F4" w:rsidRDefault="00D140F4" w:rsidP="00A94A70">
      <w:pPr>
        <w:rPr>
          <w:b/>
        </w:rPr>
      </w:pPr>
    </w:p>
    <w:p w:rsidR="00D140F4" w:rsidRPr="00A94A70" w:rsidRDefault="00D140F4" w:rsidP="00D140F4">
      <w:pPr>
        <w:rPr>
          <w:b/>
        </w:rPr>
      </w:pPr>
      <w:r w:rsidRPr="00A94A70">
        <w:rPr>
          <w:b/>
        </w:rPr>
        <w:t>Mobile Devices</w:t>
      </w:r>
    </w:p>
    <w:p w:rsidR="00D140F4" w:rsidRDefault="00D140F4" w:rsidP="00D140F4">
      <w:r>
        <w:t>Create a mobile shopping list application that provides essentially the same capability as the web site. The mobile application shall be available from the Apple and Android stores.</w:t>
      </w:r>
    </w:p>
    <w:p w:rsidR="00A94A70" w:rsidRPr="00A94A70" w:rsidRDefault="00D140F4" w:rsidP="00A94A70">
      <w:pPr>
        <w:rPr>
          <w:b/>
        </w:rPr>
      </w:pPr>
      <w:r>
        <w:rPr>
          <w:b/>
        </w:rPr>
        <w:t xml:space="preserve">Key Application </w:t>
      </w:r>
      <w:r w:rsidR="00A94A70" w:rsidRPr="00A94A70">
        <w:rPr>
          <w:b/>
        </w:rPr>
        <w:t>Features</w:t>
      </w:r>
    </w:p>
    <w:p w:rsidR="00A94A70" w:rsidRDefault="00D140F4" w:rsidP="00FD6412">
      <w:pPr>
        <w:pStyle w:val="ListParagraph"/>
        <w:numPr>
          <w:ilvl w:val="0"/>
          <w:numId w:val="4"/>
        </w:numPr>
      </w:pPr>
      <w:r>
        <w:t>“Create an Account” so users can save and reuse the shopping list and create multiple lists.</w:t>
      </w:r>
    </w:p>
    <w:p w:rsidR="00D140F4" w:rsidRDefault="00D140F4" w:rsidP="00FD6412">
      <w:pPr>
        <w:pStyle w:val="ListParagraph"/>
        <w:numPr>
          <w:ilvl w:val="0"/>
          <w:numId w:val="4"/>
        </w:numPr>
      </w:pPr>
      <w:r>
        <w:t>The account will allow users to access data from website or mobile app</w:t>
      </w:r>
    </w:p>
    <w:p w:rsidR="00D140F4" w:rsidRDefault="00D140F4" w:rsidP="00FD6412">
      <w:pPr>
        <w:pStyle w:val="ListParagraph"/>
        <w:numPr>
          <w:ilvl w:val="0"/>
          <w:numId w:val="4"/>
        </w:numPr>
      </w:pPr>
      <w:r>
        <w:t>Users should be able to receive alerts and save the shopping lists from the website application or the mobile app</w:t>
      </w:r>
    </w:p>
    <w:p w:rsidR="00D140F4" w:rsidRDefault="00D140F4" w:rsidP="00FD6412">
      <w:pPr>
        <w:pStyle w:val="ListParagraph"/>
        <w:numPr>
          <w:ilvl w:val="0"/>
          <w:numId w:val="4"/>
        </w:numPr>
      </w:pPr>
      <w:r>
        <w:t>Ability to specify alert status (daily, weekly, etc.)</w:t>
      </w:r>
    </w:p>
    <w:p w:rsidR="00D140F4" w:rsidRDefault="00D140F4" w:rsidP="00FD6412">
      <w:pPr>
        <w:pStyle w:val="ListParagraph"/>
        <w:numPr>
          <w:ilvl w:val="0"/>
          <w:numId w:val="4"/>
        </w:numPr>
      </w:pPr>
      <w:r>
        <w:t>Ability to select a category for the alert (Recall, Event)</w:t>
      </w:r>
    </w:p>
    <w:p w:rsidR="00D140F4" w:rsidRDefault="00D140F4" w:rsidP="00FD6412">
      <w:pPr>
        <w:pStyle w:val="ListParagraph"/>
        <w:numPr>
          <w:ilvl w:val="0"/>
          <w:numId w:val="4"/>
        </w:numPr>
      </w:pPr>
      <w:r>
        <w:t xml:space="preserve">Ability to add Health risks and specific allergens </w:t>
      </w:r>
    </w:p>
    <w:p w:rsidR="00D140F4" w:rsidRDefault="00D140F4" w:rsidP="00FD6412">
      <w:pPr>
        <w:pStyle w:val="ListParagraph"/>
        <w:numPr>
          <w:ilvl w:val="0"/>
          <w:numId w:val="4"/>
        </w:numPr>
      </w:pPr>
      <w:r>
        <w:t>Ability customize alerts by geographic region</w:t>
      </w:r>
    </w:p>
    <w:p w:rsidR="00CB0B07" w:rsidRDefault="00CB0B07" w:rsidP="00FD6412">
      <w:pPr>
        <w:pStyle w:val="ListParagraph"/>
        <w:numPr>
          <w:ilvl w:val="0"/>
          <w:numId w:val="4"/>
        </w:numPr>
      </w:pPr>
      <w:r>
        <w:t xml:space="preserve">Ability to </w:t>
      </w:r>
      <w:r w:rsidRPr="00FD6412">
        <w:rPr>
          <w:b/>
          <w:i/>
        </w:rPr>
        <w:t>Share</w:t>
      </w:r>
      <w:r>
        <w:t xml:space="preserve"> the search result data via Facebook or Twitter</w:t>
      </w:r>
    </w:p>
    <w:p w:rsidR="00D140F4" w:rsidRDefault="00D140F4" w:rsidP="00FD6412">
      <w:pPr>
        <w:pStyle w:val="ListParagraph"/>
        <w:numPr>
          <w:ilvl w:val="0"/>
          <w:numId w:val="4"/>
        </w:numPr>
      </w:pPr>
      <w:r>
        <w:t>Ability to use a mobile device to take a picture of the barcode on an item in the store to see if it has been part of a recall</w:t>
      </w:r>
    </w:p>
    <w:p w:rsidR="00FD6412" w:rsidRPr="00FD6412" w:rsidRDefault="00FD6412" w:rsidP="00FD6412">
      <w:pPr>
        <w:rPr>
          <w:b/>
        </w:rPr>
      </w:pPr>
      <w:r w:rsidRPr="00FD6412">
        <w:rPr>
          <w:b/>
        </w:rPr>
        <w:t>Keeping the Website “Human-centered”</w:t>
      </w:r>
    </w:p>
    <w:p w:rsidR="00FD6412" w:rsidRDefault="00FD6412" w:rsidP="00FD6412">
      <w:pPr>
        <w:pStyle w:val="ListParagraph"/>
        <w:numPr>
          <w:ilvl w:val="0"/>
          <w:numId w:val="3"/>
        </w:numPr>
      </w:pPr>
      <w:r>
        <w:t>Adjustable font size on pages with large amounts of text</w:t>
      </w:r>
    </w:p>
    <w:p w:rsidR="00FD6412" w:rsidRDefault="00FD6412" w:rsidP="00FD6412">
      <w:pPr>
        <w:pStyle w:val="ListParagraph"/>
        <w:numPr>
          <w:ilvl w:val="0"/>
          <w:numId w:val="3"/>
        </w:numPr>
      </w:pPr>
      <w:r>
        <w:t>Making all icons color-coded for ease of recognition, but also labeling each icon to accommodate users with visual sensory issues.</w:t>
      </w:r>
    </w:p>
    <w:p w:rsidR="00FD6412" w:rsidRDefault="00FD6412" w:rsidP="00FD6412">
      <w:pPr>
        <w:pStyle w:val="ListParagraph"/>
        <w:numPr>
          <w:ilvl w:val="0"/>
          <w:numId w:val="3"/>
        </w:numPr>
      </w:pPr>
      <w:r>
        <w:t>Incorporating the “breadcrumb” menu at the top of each web page, so the user can easily track where they are and return to their starting point.</w:t>
      </w:r>
    </w:p>
    <w:p w:rsidR="00FD6412" w:rsidRDefault="00FD6412" w:rsidP="00FD6412">
      <w:pPr>
        <w:pStyle w:val="ListParagraph"/>
        <w:numPr>
          <w:ilvl w:val="0"/>
          <w:numId w:val="3"/>
        </w:numPr>
      </w:pPr>
      <w:r>
        <w:t>Simple functionality, “enter the item and enter the plus icon” - to allow users to quickly add their items and see results. Simple navigation throughout website and mobile application.</w:t>
      </w:r>
    </w:p>
    <w:p w:rsidR="00FD6412" w:rsidRDefault="00FD6412" w:rsidP="00FD6412">
      <w:pPr>
        <w:pStyle w:val="ListParagraph"/>
        <w:numPr>
          <w:ilvl w:val="0"/>
          <w:numId w:val="3"/>
        </w:numPr>
      </w:pPr>
      <w:r>
        <w:t>Add the ability for the user to evaluate whether the data returned was helpful in meeting their needs.</w:t>
      </w:r>
    </w:p>
    <w:p w:rsidR="00053B97" w:rsidRDefault="00053B97" w:rsidP="00FD6412">
      <w:pPr>
        <w:rPr>
          <w:noProof/>
        </w:rPr>
      </w:pPr>
    </w:p>
    <w:p w:rsidR="00053B97" w:rsidRDefault="00053B97" w:rsidP="00FD6412"/>
    <w:p w:rsidR="00053B97" w:rsidRDefault="00053B97" w:rsidP="00FD6412"/>
    <w:p w:rsidR="00053B97" w:rsidRDefault="00053B97" w:rsidP="00053B97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>- ShopAware Web Service Concept Diagram</w:t>
      </w:r>
    </w:p>
    <w:p w:rsidR="00FD6412" w:rsidRDefault="00053B97" w:rsidP="00FD6412">
      <w:bookmarkStart w:id="0" w:name="_GoBack"/>
      <w:r>
        <w:rPr>
          <w:noProof/>
        </w:rPr>
        <w:drawing>
          <wp:inline distT="0" distB="0" distL="0" distR="0">
            <wp:extent cx="5568287" cy="3848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icesConcep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027" cy="38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B97" w:rsidRDefault="00053B97" w:rsidP="00FD6412"/>
    <w:p w:rsidR="00D140F4" w:rsidRDefault="00D140F4" w:rsidP="00A94A70"/>
    <w:p w:rsidR="00A94A70" w:rsidRDefault="00A94A70" w:rsidP="00A94A70"/>
    <w:sectPr w:rsidR="00A94A70" w:rsidSect="00B547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BDC" w:rsidRDefault="000C4BDC" w:rsidP="00053B97">
      <w:pPr>
        <w:spacing w:after="0" w:line="240" w:lineRule="auto"/>
      </w:pPr>
      <w:r>
        <w:separator/>
      </w:r>
    </w:p>
  </w:endnote>
  <w:endnote w:type="continuationSeparator" w:id="0">
    <w:p w:rsidR="000C4BDC" w:rsidRDefault="000C4BDC" w:rsidP="0005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BDC" w:rsidRDefault="000C4BDC" w:rsidP="00053B97">
      <w:pPr>
        <w:spacing w:after="0" w:line="240" w:lineRule="auto"/>
      </w:pPr>
      <w:r>
        <w:separator/>
      </w:r>
    </w:p>
  </w:footnote>
  <w:footnote w:type="continuationSeparator" w:id="0">
    <w:p w:rsidR="000C4BDC" w:rsidRDefault="000C4BDC" w:rsidP="00053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31C2B"/>
    <w:multiLevelType w:val="hybridMultilevel"/>
    <w:tmpl w:val="6E787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93B55"/>
    <w:multiLevelType w:val="hybridMultilevel"/>
    <w:tmpl w:val="C11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0220E"/>
    <w:multiLevelType w:val="hybridMultilevel"/>
    <w:tmpl w:val="56F8E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E44BA"/>
    <w:multiLevelType w:val="hybridMultilevel"/>
    <w:tmpl w:val="B1F4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FA"/>
    <w:rsid w:val="0003716D"/>
    <w:rsid w:val="00053B97"/>
    <w:rsid w:val="000B7066"/>
    <w:rsid w:val="000C4BDC"/>
    <w:rsid w:val="00106B06"/>
    <w:rsid w:val="0017425D"/>
    <w:rsid w:val="0019771F"/>
    <w:rsid w:val="00302FA2"/>
    <w:rsid w:val="0032378F"/>
    <w:rsid w:val="00352A5B"/>
    <w:rsid w:val="00352CE5"/>
    <w:rsid w:val="003F2045"/>
    <w:rsid w:val="003F7750"/>
    <w:rsid w:val="0055387D"/>
    <w:rsid w:val="00570251"/>
    <w:rsid w:val="005F54F4"/>
    <w:rsid w:val="00811144"/>
    <w:rsid w:val="00897FD0"/>
    <w:rsid w:val="009E7760"/>
    <w:rsid w:val="00A94A70"/>
    <w:rsid w:val="00B43740"/>
    <w:rsid w:val="00B5476E"/>
    <w:rsid w:val="00CB0B07"/>
    <w:rsid w:val="00D140F4"/>
    <w:rsid w:val="00EC0EB0"/>
    <w:rsid w:val="00F53F84"/>
    <w:rsid w:val="00F737FA"/>
    <w:rsid w:val="00FC1F7B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CAC93-48B0-428F-B9FD-2E03A63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7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32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32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2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37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97"/>
  </w:style>
  <w:style w:type="paragraph" w:styleId="Footer">
    <w:name w:val="footer"/>
    <w:basedOn w:val="Normal"/>
    <w:link w:val="FooterChar"/>
    <w:uiPriority w:val="99"/>
    <w:unhideWhenUsed/>
    <w:rsid w:val="0005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97"/>
  </w:style>
  <w:style w:type="paragraph" w:styleId="Caption">
    <w:name w:val="caption"/>
    <w:basedOn w:val="Normal"/>
    <w:next w:val="Normal"/>
    <w:uiPriority w:val="35"/>
    <w:semiHidden/>
    <w:unhideWhenUsed/>
    <w:qFormat/>
    <w:rsid w:val="00053B9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gov.fda.drugshort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mi.org/docs/default-source/research/presentation.pdf?sfvrsn=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henationshealth.aphapublications.org/content/41/8/1.3.ful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oshonabudget.com/2011/04/50-statistics-about-grocery-shopping-that-you-may-want-to-know-ab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calls.gov/foo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 Williams</dc:creator>
  <cp:lastModifiedBy>Phil Cerasoli</cp:lastModifiedBy>
  <cp:revision>5</cp:revision>
  <dcterms:created xsi:type="dcterms:W3CDTF">2015-06-25T12:16:00Z</dcterms:created>
  <dcterms:modified xsi:type="dcterms:W3CDTF">2015-07-02T16:53:00Z</dcterms:modified>
</cp:coreProperties>
</file>