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C6E" w:rsidRPr="004E2E90" w:rsidRDefault="009117B3">
      <w:pPr>
        <w:spacing w:line="288" w:lineRule="auto"/>
        <w:jc w:val="center"/>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t>Acme LookSee – Item 1</w:t>
      </w: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9117B3">
      <w:pPr>
        <w:spacing w:line="288" w:lineRule="auto"/>
        <w:jc w:val="center"/>
        <w:rPr>
          <w:rFonts w:ascii="Calibri" w:eastAsia="Calibri" w:hAnsi="Calibri" w:cs="Calibri"/>
          <w:sz w:val="72"/>
          <w:szCs w:val="72"/>
          <w:lang w:val="en-US"/>
        </w:rPr>
      </w:pPr>
      <w:r w:rsidRPr="004E2E90">
        <w:rPr>
          <w:rFonts w:ascii="Calibri" w:eastAsia="Calibri" w:hAnsi="Calibri" w:cs="Calibri"/>
          <w:sz w:val="72"/>
          <w:szCs w:val="72"/>
          <w:lang w:val="en-US"/>
        </w:rPr>
        <w:t>BUDGET REPORT</w:t>
      </w: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Gonzalo Delgado Chaves</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Juan José Valle Zarza</w:t>
      </w: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9117B3">
      <w:pPr>
        <w:spacing w:line="288" w:lineRule="auto"/>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lastRenderedPageBreak/>
        <w:t>Table of contents</w:t>
      </w:r>
    </w:p>
    <w:p w:rsidR="00C67C6E" w:rsidRPr="004E2E90" w:rsidRDefault="00C67C6E">
      <w:pPr>
        <w:rPr>
          <w:rFonts w:ascii="Calibri" w:eastAsia="Calibri" w:hAnsi="Calibri" w:cs="Calibri"/>
          <w:sz w:val="40"/>
          <w:szCs w:val="40"/>
          <w:u w:val="single"/>
          <w:lang w:val="en-US"/>
        </w:rPr>
      </w:pP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Introduction</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Budget report</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Cost summary</w:t>
      </w: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rPr>
          <w:rFonts w:ascii="Calibri" w:eastAsia="Calibri" w:hAnsi="Calibri" w:cs="Calibri"/>
          <w:sz w:val="40"/>
          <w:szCs w:val="40"/>
          <w:u w:val="single"/>
        </w:rPr>
      </w:pPr>
    </w:p>
    <w:p w:rsidR="00C67C6E" w:rsidRDefault="00C67C6E">
      <w:pPr>
        <w:rPr>
          <w:rFonts w:ascii="Calibri" w:eastAsia="Calibri" w:hAnsi="Calibri" w:cs="Calibri"/>
          <w:sz w:val="40"/>
          <w:szCs w:val="40"/>
          <w:u w:val="single"/>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lastRenderedPageBreak/>
        <w:t>1. Introduction</w:t>
      </w:r>
    </w:p>
    <w:p w:rsidR="00C67C6E" w:rsidRDefault="00C67C6E">
      <w:pPr>
        <w:rPr>
          <w:rFonts w:ascii="Calibri" w:eastAsia="Calibri" w:hAnsi="Calibri" w:cs="Calibri"/>
          <w:sz w:val="32"/>
          <w:szCs w:val="32"/>
        </w:rPr>
      </w:pPr>
    </w:p>
    <w:p w:rsidR="00C67C6E" w:rsidRPr="004E2E90" w:rsidRDefault="009117B3">
      <w:pPr>
        <w:ind w:firstLine="720"/>
        <w:rPr>
          <w:rFonts w:ascii="Calibri" w:eastAsia="Calibri" w:hAnsi="Calibri" w:cs="Calibri"/>
          <w:sz w:val="28"/>
          <w:szCs w:val="28"/>
          <w:lang w:val="en-US"/>
        </w:rPr>
      </w:pPr>
      <w:r w:rsidRPr="004E2E90">
        <w:rPr>
          <w:rFonts w:ascii="Calibri" w:eastAsia="Calibri" w:hAnsi="Calibri" w:cs="Calibri"/>
          <w:sz w:val="28"/>
          <w:szCs w:val="28"/>
          <w:lang w:val="en-US"/>
        </w:rPr>
        <w:t>In this report, we will summarise the total costs of project Acme LookSee, according to the number of engineers working in said project, their expected salaries, and every other category of expenditure required, such as amortization, reserves and non tangible costs.</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p w:rsidR="00C67C6E" w:rsidRPr="001D6FE0" w:rsidRDefault="009117B3">
      <w:pPr>
        <w:rPr>
          <w:rFonts w:ascii="Calibri" w:eastAsia="Calibri" w:hAnsi="Calibri" w:cs="Calibri"/>
          <w:sz w:val="40"/>
          <w:szCs w:val="40"/>
          <w:u w:val="single"/>
          <w:lang w:val="en-US"/>
        </w:rPr>
      </w:pPr>
      <w:r w:rsidRPr="001D6FE0">
        <w:rPr>
          <w:rFonts w:ascii="Calibri" w:eastAsia="Calibri" w:hAnsi="Calibri" w:cs="Calibri"/>
          <w:sz w:val="40"/>
          <w:szCs w:val="40"/>
          <w:u w:val="single"/>
          <w:lang w:val="en-US"/>
        </w:rPr>
        <w:t>2. Budget report</w:t>
      </w:r>
    </w:p>
    <w:p w:rsidR="00C67C6E" w:rsidRPr="001D6FE0" w:rsidRDefault="00C67C6E">
      <w:pPr>
        <w:rPr>
          <w:rFonts w:ascii="Calibri" w:eastAsia="Calibri" w:hAnsi="Calibri" w:cs="Calibri"/>
          <w:sz w:val="40"/>
          <w:szCs w:val="40"/>
          <w:u w:val="single"/>
          <w:lang w:val="en-US"/>
        </w:rPr>
      </w:pPr>
    </w:p>
    <w:p w:rsidR="00C67C6E" w:rsidRPr="004E2E90" w:rsidRDefault="009117B3">
      <w:pPr>
        <w:rPr>
          <w:rFonts w:ascii="Calibri" w:eastAsia="Calibri" w:hAnsi="Calibri" w:cs="Calibri"/>
          <w:sz w:val="28"/>
          <w:szCs w:val="28"/>
          <w:lang w:val="en-US"/>
        </w:rPr>
      </w:pPr>
      <w:r w:rsidRPr="001D6FE0">
        <w:rPr>
          <w:rFonts w:ascii="Calibri" w:eastAsia="Calibri" w:hAnsi="Calibri" w:cs="Calibri"/>
          <w:sz w:val="28"/>
          <w:szCs w:val="28"/>
          <w:lang w:val="en-US"/>
        </w:rPr>
        <w:tab/>
      </w:r>
      <w:r w:rsidRPr="004E2E90">
        <w:rPr>
          <w:rFonts w:ascii="Calibri" w:eastAsia="Calibri" w:hAnsi="Calibri" w:cs="Calibri"/>
          <w:sz w:val="28"/>
          <w:szCs w:val="28"/>
          <w:lang w:val="en-US"/>
        </w:rPr>
        <w:t>For the purposes of this budget, we have determined four main categories of expenditure. The details on each category are as follows: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Personnel costs:</w:t>
      </w:r>
    </w:p>
    <w:p w:rsidR="00C67C6E" w:rsidRPr="004E2E90" w:rsidRDefault="00C67C6E">
      <w:pPr>
        <w:rPr>
          <w:rFonts w:ascii="Calibri" w:eastAsia="Calibri" w:hAnsi="Calibri" w:cs="Calibri"/>
          <w:sz w:val="28"/>
          <w:szCs w:val="28"/>
          <w:lang w:val="en-US"/>
        </w:rPr>
      </w:pPr>
    </w:p>
    <w:tbl>
      <w:tblPr>
        <w:tblStyle w:val="a"/>
        <w:tblW w:w="9029" w:type="dxa"/>
        <w:tblInd w:w="100" w:type="dxa"/>
        <w:tblLayout w:type="fixed"/>
        <w:tblLook w:val="0600" w:firstRow="0" w:lastRow="0" w:firstColumn="0" w:lastColumn="0" w:noHBand="1" w:noVBand="1"/>
      </w:tblPr>
      <w:tblGrid>
        <w:gridCol w:w="2258"/>
        <w:gridCol w:w="2257"/>
        <w:gridCol w:w="2257"/>
        <w:gridCol w:w="2257"/>
      </w:tblGrid>
      <w:tr w:rsidR="00C67C6E" w:rsidTr="00F80985">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Worker</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 worked</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Salary/hour (€)</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 (€)</w:t>
            </w:r>
          </w:p>
        </w:tc>
      </w:tr>
      <w:tr w:rsidR="00C67C6E" w:rsidTr="00F80985">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3</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4</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5</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6</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FFFFFF" w:themeFill="background1"/>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2257" w:type="dxa"/>
            <w:shd w:val="clear" w:color="auto" w:fill="FFFFFF" w:themeFill="background1"/>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shd w:val="clear" w:color="auto" w:fill="FFFFFF" w:themeFill="background1"/>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shd w:val="clear" w:color="auto" w:fill="FFFFFF" w:themeFill="background1"/>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1512</w:t>
            </w:r>
          </w:p>
        </w:tc>
      </w:tr>
    </w:tbl>
    <w:p w:rsidR="00C67C6E" w:rsidRDefault="00C67C6E">
      <w:pPr>
        <w:rPr>
          <w:rFonts w:ascii="Calibri" w:eastAsia="Calibri" w:hAnsi="Calibri" w:cs="Calibri"/>
          <w:sz w:val="28"/>
          <w:szCs w:val="28"/>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For this project, we’ve settled on a salary rate of flat 12 € per hour, a common average for junior programmers. The assignment of tasks has been made with the intention of having a common ground, so it’s been balanced for all engineers to work the same number of hours. The following table discloses the assigned number of hours per task:</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tbl>
      <w:tblPr>
        <w:tblStyle w:val="a0"/>
        <w:tblW w:w="9029" w:type="dxa"/>
        <w:tblInd w:w="100" w:type="dxa"/>
        <w:tblLayout w:type="fixed"/>
        <w:tblLook w:val="0600" w:firstRow="0" w:lastRow="0" w:firstColumn="0" w:lastColumn="0" w:noHBand="1" w:noVBand="1"/>
      </w:tblPr>
      <w:tblGrid>
        <w:gridCol w:w="3009"/>
        <w:gridCol w:w="3010"/>
        <w:gridCol w:w="3010"/>
      </w:tblGrid>
      <w:tr w:rsidR="00C67C6E" w:rsidTr="00F80985">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lastRenderedPageBreak/>
              <w:t>Task</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Hours/worker</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r>
      <w:tr w:rsidR="00C67C6E" w:rsidTr="00F80985">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Modelling</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r>
      <w:tr w:rsidR="00C67C6E" w:rsidTr="00F80985">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Services &amp; Repositories</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F80985">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Controllers</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F80985">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Views</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F80985">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Testing</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5</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30</w:t>
            </w:r>
          </w:p>
        </w:tc>
      </w:tr>
      <w:tr w:rsidR="00C67C6E" w:rsidTr="00F80985">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18</w:t>
            </w:r>
          </w:p>
        </w:tc>
      </w:tr>
    </w:tbl>
    <w:p w:rsidR="00C67C6E" w:rsidRDefault="00C67C6E">
      <w:pPr>
        <w:rPr>
          <w:rFonts w:ascii="Calibri" w:eastAsia="Calibri" w:hAnsi="Calibri" w:cs="Calibri"/>
          <w:sz w:val="28"/>
          <w:szCs w:val="28"/>
        </w:rPr>
      </w:pPr>
    </w:p>
    <w:tbl>
      <w:tblPr>
        <w:tblStyle w:val="a1"/>
        <w:tblW w:w="9029" w:type="dxa"/>
        <w:tblInd w:w="100" w:type="dxa"/>
        <w:tblLayout w:type="fixed"/>
        <w:tblLook w:val="0600" w:firstRow="0" w:lastRow="0" w:firstColumn="0" w:lastColumn="0" w:noHBand="1" w:noVBand="1"/>
      </w:tblPr>
      <w:tblGrid>
        <w:gridCol w:w="3009"/>
        <w:gridCol w:w="3010"/>
        <w:gridCol w:w="3010"/>
      </w:tblGrid>
      <w:tr w:rsidR="00C67C6E" w:rsidTr="00F80985">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21</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126</w:t>
            </w:r>
          </w:p>
        </w:tc>
      </w:tr>
    </w:tbl>
    <w:p w:rsidR="00C67C6E" w:rsidRDefault="00C67C6E">
      <w:pPr>
        <w:rPr>
          <w:rFonts w:ascii="Calibri" w:eastAsia="Calibri" w:hAnsi="Calibri" w:cs="Calibri"/>
          <w:sz w:val="28"/>
          <w:szCs w:val="28"/>
        </w:rPr>
      </w:pPr>
    </w:p>
    <w:p w:rsidR="004E2E90" w:rsidRDefault="004E2E90">
      <w:pPr>
        <w:rPr>
          <w:rFonts w:ascii="Calibri" w:eastAsia="Calibri" w:hAnsi="Calibri" w:cs="Calibri"/>
          <w:sz w:val="28"/>
          <w:szCs w:val="28"/>
        </w:rPr>
      </w:pPr>
    </w:p>
    <w:p w:rsidR="00C67C6E" w:rsidRPr="001D6FE0" w:rsidRDefault="009117B3">
      <w:pPr>
        <w:rPr>
          <w:rFonts w:ascii="Calibri" w:eastAsia="Calibri" w:hAnsi="Calibri" w:cs="Calibri"/>
          <w:sz w:val="32"/>
          <w:szCs w:val="32"/>
          <w:u w:val="single"/>
          <w:lang w:val="en-US"/>
        </w:rPr>
      </w:pPr>
      <w:r w:rsidRPr="001D6FE0">
        <w:rPr>
          <w:rFonts w:ascii="Calibri" w:eastAsia="Calibri" w:hAnsi="Calibri" w:cs="Calibri"/>
          <w:sz w:val="32"/>
          <w:szCs w:val="32"/>
          <w:u w:val="single"/>
          <w:lang w:val="en-US"/>
        </w:rPr>
        <w:t>Services:</w:t>
      </w:r>
    </w:p>
    <w:p w:rsidR="00C67C6E" w:rsidRPr="001D6FE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Alloted cost in the category of services falls into the following uses: training, consulting, renting and subcontracting. Since none of these services or any other, unconventional services have been determined to be required, there’s no budget allocated to this section.</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Amortization:</w:t>
      </w:r>
    </w:p>
    <w:p w:rsidR="00C67C6E" w:rsidRPr="004E2E9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Each member of the work group has a laptop computer valued in 700 €. The costs of amortization for said computers, on the standard 4 years</w:t>
      </w:r>
      <w:r w:rsidR="001D6FE0">
        <w:rPr>
          <w:rFonts w:ascii="Calibri" w:eastAsia="Calibri" w:hAnsi="Calibri" w:cs="Calibri"/>
          <w:sz w:val="28"/>
          <w:szCs w:val="28"/>
          <w:lang w:val="en-US"/>
        </w:rPr>
        <w:t xml:space="preserve"> and during the alloted hours</w:t>
      </w:r>
      <w:r w:rsidRPr="004E2E90">
        <w:rPr>
          <w:rFonts w:ascii="Calibri" w:eastAsia="Calibri" w:hAnsi="Calibri" w:cs="Calibri"/>
          <w:sz w:val="28"/>
          <w:szCs w:val="28"/>
          <w:lang w:val="en-US"/>
        </w:rPr>
        <w:t xml:space="preserve">, amount to </w:t>
      </w:r>
      <w:r w:rsidR="001D6FE0">
        <w:rPr>
          <w:rFonts w:ascii="Calibri" w:eastAsia="Calibri" w:hAnsi="Calibri" w:cs="Calibri"/>
          <w:sz w:val="28"/>
          <w:szCs w:val="28"/>
          <w:lang w:val="en-US"/>
        </w:rPr>
        <w:t>41,95</w:t>
      </w:r>
      <w:r w:rsidRPr="004E2E90">
        <w:rPr>
          <w:rFonts w:ascii="Calibri" w:eastAsia="Calibri" w:hAnsi="Calibri" w:cs="Calibri"/>
          <w:sz w:val="28"/>
          <w:szCs w:val="28"/>
          <w:lang w:val="en-US"/>
        </w:rPr>
        <w:t xml:space="preserve"> €. For all six engineers, this amounts to </w:t>
      </w:r>
      <w:r w:rsidR="001D6FE0">
        <w:rPr>
          <w:rFonts w:ascii="Calibri" w:eastAsia="Calibri" w:hAnsi="Calibri" w:cs="Calibri"/>
          <w:sz w:val="28"/>
          <w:szCs w:val="28"/>
          <w:lang w:val="en-US"/>
        </w:rPr>
        <w:t>251,71</w:t>
      </w:r>
      <w:r w:rsidRPr="004E2E90">
        <w:rPr>
          <w:rFonts w:ascii="Calibri" w:eastAsia="Calibri" w:hAnsi="Calibri" w:cs="Calibri"/>
          <w:sz w:val="28"/>
          <w:szCs w:val="28"/>
          <w:lang w:val="en-US"/>
        </w:rPr>
        <w:t xml:space="preserve"> €.</w:t>
      </w: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No licenses were accounted for in this section, since all work group members have access to academic use licenses, free of charge.</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Other costs: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28"/>
          <w:szCs w:val="28"/>
          <w:lang w:val="en-US"/>
        </w:rPr>
      </w:pPr>
      <w:r w:rsidRPr="004E2E90">
        <w:rPr>
          <w:rFonts w:ascii="Calibri" w:eastAsia="Calibri" w:hAnsi="Calibri" w:cs="Calibri"/>
          <w:sz w:val="28"/>
          <w:szCs w:val="28"/>
          <w:lang w:val="en-US"/>
        </w:rPr>
        <w:lastRenderedPageBreak/>
        <w:t>This section encompasses contingency reserves, such as having one or more less engineers for a short period of time due to illness. The total budget allocated to this section is derived off the others, being 10% of the sum of all other costs. All figures in the following table are expressed in euro:</w:t>
      </w:r>
    </w:p>
    <w:p w:rsidR="00C67C6E" w:rsidRPr="004E2E90" w:rsidRDefault="00C67C6E">
      <w:pPr>
        <w:rPr>
          <w:rFonts w:ascii="Calibri" w:eastAsia="Calibri" w:hAnsi="Calibri" w:cs="Calibri"/>
          <w:sz w:val="28"/>
          <w:szCs w:val="28"/>
          <w:lang w:val="en-US"/>
        </w:rPr>
      </w:pPr>
    </w:p>
    <w:tbl>
      <w:tblPr>
        <w:tblStyle w:val="a2"/>
        <w:tblW w:w="9029" w:type="dxa"/>
        <w:tblInd w:w="100" w:type="dxa"/>
        <w:tblLayout w:type="fixed"/>
        <w:tblLook w:val="0600" w:firstRow="0" w:lastRow="0" w:firstColumn="0" w:lastColumn="0" w:noHBand="1" w:noVBand="1"/>
      </w:tblPr>
      <w:tblGrid>
        <w:gridCol w:w="2280"/>
        <w:gridCol w:w="2475"/>
        <w:gridCol w:w="1995"/>
        <w:gridCol w:w="2279"/>
      </w:tblGrid>
      <w:tr w:rsidR="00C67C6E" w:rsidTr="00F80985">
        <w:tc>
          <w:tcPr>
            <w:tcW w:w="227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Personnel costs</w:t>
            </w:r>
          </w:p>
        </w:tc>
        <w:tc>
          <w:tcPr>
            <w:tcW w:w="2475"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Amortization costs</w:t>
            </w:r>
          </w:p>
        </w:tc>
        <w:tc>
          <w:tcPr>
            <w:tcW w:w="1995"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c>
          <w:tcPr>
            <w:tcW w:w="227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Other costs</w:t>
            </w:r>
          </w:p>
        </w:tc>
      </w:tr>
      <w:tr w:rsidR="00C67C6E" w:rsidTr="00F80985">
        <w:tc>
          <w:tcPr>
            <w:tcW w:w="227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c>
          <w:tcPr>
            <w:tcW w:w="2475"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251,71</w:t>
            </w:r>
          </w:p>
        </w:tc>
        <w:tc>
          <w:tcPr>
            <w:tcW w:w="1995"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1763,71</w:t>
            </w:r>
          </w:p>
        </w:tc>
        <w:tc>
          <w:tcPr>
            <w:tcW w:w="227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w:t>
            </w:r>
          </w:p>
        </w:tc>
      </w:tr>
    </w:tbl>
    <w:p w:rsidR="00C67C6E" w:rsidRDefault="00C67C6E">
      <w:pPr>
        <w:rPr>
          <w:rFonts w:ascii="Calibri" w:eastAsia="Calibri" w:hAnsi="Calibri" w:cs="Calibri"/>
          <w:sz w:val="28"/>
          <w:szCs w:val="28"/>
        </w:rPr>
      </w:pPr>
    </w:p>
    <w:p w:rsidR="00C67C6E" w:rsidRDefault="00C67C6E">
      <w:pPr>
        <w:rPr>
          <w:rFonts w:ascii="Calibri" w:eastAsia="Calibri" w:hAnsi="Calibri" w:cs="Calibri"/>
          <w:sz w:val="28"/>
          <w:szCs w:val="28"/>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t>3. Cost summary</w:t>
      </w:r>
    </w:p>
    <w:p w:rsidR="00C67C6E" w:rsidRDefault="00C67C6E">
      <w:pPr>
        <w:rPr>
          <w:rFonts w:ascii="Calibri" w:eastAsia="Calibri" w:hAnsi="Calibri" w:cs="Calibri"/>
          <w:sz w:val="28"/>
          <w:szCs w:val="28"/>
        </w:rPr>
      </w:pPr>
    </w:p>
    <w:tbl>
      <w:tblPr>
        <w:tblStyle w:val="a3"/>
        <w:tblW w:w="9029" w:type="dxa"/>
        <w:tblInd w:w="100" w:type="dxa"/>
        <w:tblLayout w:type="fixed"/>
        <w:tblLook w:val="0600" w:firstRow="0" w:lastRow="0" w:firstColumn="0" w:lastColumn="0" w:noHBand="1" w:noVBand="1"/>
      </w:tblPr>
      <w:tblGrid>
        <w:gridCol w:w="3009"/>
        <w:gridCol w:w="3010"/>
        <w:gridCol w:w="3010"/>
      </w:tblGrid>
      <w:tr w:rsidR="00C67C6E" w:rsidTr="00F80985">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Concept</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Cost (€)</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r>
      <w:tr w:rsidR="00C67C6E" w:rsidTr="00F80985">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r>
      <w:tr w:rsidR="00C67C6E" w:rsidTr="00F80985">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3009" w:type="dxa"/>
            <w:shd w:val="clear" w:color="auto" w:fill="D9E2F3" w:themeFill="accent1" w:themeFillTint="33"/>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251,71</w:t>
            </w:r>
          </w:p>
        </w:tc>
        <w:tc>
          <w:tcPr>
            <w:tcW w:w="3009" w:type="dxa"/>
            <w:shd w:val="clear" w:color="auto" w:fill="D9E2F3" w:themeFill="accent1" w:themeFillTint="33"/>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1763,71</w:t>
            </w:r>
          </w:p>
        </w:tc>
      </w:tr>
      <w:tr w:rsidR="00C67C6E" w:rsidTr="00F80985">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c>
          <w:tcPr>
            <w:tcW w:w="300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w:t>
            </w:r>
          </w:p>
        </w:tc>
        <w:tc>
          <w:tcPr>
            <w:tcW w:w="300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1940,08</w:t>
            </w:r>
          </w:p>
        </w:tc>
      </w:tr>
      <w:tr w:rsidR="00C67C6E" w:rsidTr="00F80985">
        <w:tc>
          <w:tcPr>
            <w:tcW w:w="3009" w:type="dxa"/>
            <w:shd w:val="clear" w:color="auto" w:fill="D9E2F3" w:themeFill="accent1" w:themeFillTint="33"/>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shd w:val="clear" w:color="auto" w:fill="D9E2F3" w:themeFill="accent1" w:themeFillTint="33"/>
            <w:tcMar>
              <w:top w:w="100" w:type="dxa"/>
              <w:left w:w="100" w:type="dxa"/>
              <w:bottom w:w="100" w:type="dxa"/>
              <w:right w:w="100" w:type="dxa"/>
            </w:tcMar>
          </w:tcPr>
          <w:p w:rsidR="00C67C6E" w:rsidRPr="004E2E90" w:rsidRDefault="00C67C6E">
            <w:pPr>
              <w:widowControl w:val="0"/>
              <w:spacing w:line="240" w:lineRule="auto"/>
              <w:rPr>
                <w:rFonts w:ascii="Calibri" w:eastAsia="Calibri" w:hAnsi="Calibri" w:cs="Calibri"/>
                <w:b/>
                <w:sz w:val="28"/>
                <w:szCs w:val="28"/>
              </w:rPr>
            </w:pPr>
          </w:p>
        </w:tc>
        <w:tc>
          <w:tcPr>
            <w:tcW w:w="3009" w:type="dxa"/>
            <w:shd w:val="clear" w:color="auto" w:fill="D9E2F3" w:themeFill="accent1" w:themeFillTint="33"/>
            <w:tcMar>
              <w:top w:w="100" w:type="dxa"/>
              <w:left w:w="100" w:type="dxa"/>
              <w:bottom w:w="100" w:type="dxa"/>
              <w:right w:w="100" w:type="dxa"/>
            </w:tcMar>
          </w:tcPr>
          <w:p w:rsidR="00C67C6E" w:rsidRPr="004E2E90" w:rsidRDefault="001D6FE0">
            <w:pPr>
              <w:widowControl w:val="0"/>
              <w:spacing w:line="240" w:lineRule="auto"/>
              <w:rPr>
                <w:rFonts w:ascii="Calibri" w:eastAsia="Calibri" w:hAnsi="Calibri" w:cs="Calibri"/>
                <w:b/>
                <w:sz w:val="28"/>
                <w:szCs w:val="28"/>
              </w:rPr>
            </w:pPr>
            <w:r>
              <w:rPr>
                <w:rFonts w:ascii="Calibri" w:eastAsia="Calibri" w:hAnsi="Calibri" w:cs="Calibri"/>
                <w:b/>
                <w:sz w:val="28"/>
                <w:szCs w:val="28"/>
              </w:rPr>
              <w:t>1940,08</w:t>
            </w:r>
            <w:r w:rsidR="0013059D">
              <w:rPr>
                <w:rFonts w:ascii="Calibri" w:eastAsia="Calibri" w:hAnsi="Calibri" w:cs="Calibri"/>
                <w:b/>
                <w:sz w:val="28"/>
                <w:szCs w:val="28"/>
              </w:rPr>
              <w:t xml:space="preserve"> €</w:t>
            </w:r>
            <w:bookmarkStart w:id="0" w:name="_GoBack"/>
            <w:bookmarkEnd w:id="0"/>
          </w:p>
        </w:tc>
      </w:tr>
    </w:tbl>
    <w:p w:rsidR="00C67C6E" w:rsidRDefault="00C67C6E">
      <w:pPr>
        <w:rPr>
          <w:rFonts w:ascii="Calibri" w:eastAsia="Calibri" w:hAnsi="Calibri" w:cs="Calibri"/>
          <w:sz w:val="28"/>
          <w:szCs w:val="28"/>
        </w:rPr>
      </w:pPr>
    </w:p>
    <w:sectPr w:rsidR="00C67C6E" w:rsidSect="004E2E90">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BE1" w:rsidRDefault="00810BE1">
      <w:pPr>
        <w:spacing w:line="240" w:lineRule="auto"/>
      </w:pPr>
      <w:r>
        <w:separator/>
      </w:r>
    </w:p>
  </w:endnote>
  <w:endnote w:type="continuationSeparator" w:id="0">
    <w:p w:rsidR="00810BE1" w:rsidRDefault="00810B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C6E" w:rsidRDefault="009117B3">
    <w:pPr>
      <w:jc w:val="right"/>
    </w:pPr>
    <w:r>
      <w:fldChar w:fldCharType="begin"/>
    </w:r>
    <w:r>
      <w:instrText>PAGE</w:instrText>
    </w:r>
    <w:r>
      <w:fldChar w:fldCharType="separate"/>
    </w:r>
    <w:r w:rsidR="0013059D">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BE1" w:rsidRDefault="00810BE1">
      <w:pPr>
        <w:spacing w:line="240" w:lineRule="auto"/>
      </w:pPr>
      <w:r>
        <w:separator/>
      </w:r>
    </w:p>
  </w:footnote>
  <w:footnote w:type="continuationSeparator" w:id="0">
    <w:p w:rsidR="00810BE1" w:rsidRDefault="00810B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4040"/>
    <w:multiLevelType w:val="multilevel"/>
    <w:tmpl w:val="4B6621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7C6E"/>
    <w:rsid w:val="0013059D"/>
    <w:rsid w:val="001C103F"/>
    <w:rsid w:val="001D6FE0"/>
    <w:rsid w:val="002B13A0"/>
    <w:rsid w:val="004E2E90"/>
    <w:rsid w:val="004F3B96"/>
    <w:rsid w:val="005D0F4F"/>
    <w:rsid w:val="006017B9"/>
    <w:rsid w:val="00810BE1"/>
    <w:rsid w:val="009117B3"/>
    <w:rsid w:val="00AA3A64"/>
    <w:rsid w:val="00C67C6E"/>
    <w:rsid w:val="00F80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89CA"/>
  <w15:docId w15:val="{432D6E36-FE87-4630-BED0-7866ED6D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404</Words>
  <Characters>2225</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7</cp:revision>
  <dcterms:created xsi:type="dcterms:W3CDTF">2017-07-11T09:36:00Z</dcterms:created>
  <dcterms:modified xsi:type="dcterms:W3CDTF">2017-08-24T13:43:00Z</dcterms:modified>
</cp:coreProperties>
</file>