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24FA7F2">
      <w:pPr>
        <w:pStyle w:val="2"/>
        <w:rPr>
          <w:rFonts w:hint="eastAsia"/>
        </w:rPr>
      </w:pPr>
      <w:r>
        <w:rPr>
          <w:sz w:val="48"/>
        </w:rPr>
        <w:t>云农谷平台支付体系搭建丨业务场景及关键需求</w:t>
      </w:r>
    </w:p>
    <w:p w14:paraId="64EAAD8D">
      <w:pPr>
        <w:pStyle w:val="3"/>
        <w:rPr>
          <w:rFonts w:hint="eastAsia"/>
        </w:rPr>
      </w:pPr>
      <w:r>
        <w:t>一、平台简介</w:t>
      </w:r>
    </w:p>
    <w:p w14:paraId="1A10F4BC">
      <w:pPr>
        <w:pStyle w:val="10"/>
        <w:rPr>
          <w:rFonts w:hint="eastAsia"/>
        </w:rPr>
      </w:pPr>
      <w:r>
        <w:t>云农谷“AI+农业”专业数字化服务平台是由河南腾跃科技有限公司与中国农业科学院农产品加工研究所联合打造的全产业链数字化服务平台。平台以“AI+农业”为核心，覆盖“耕、种、管、收、烘、储、加、销”全生命周期，通过大数据、云计算和人工智能技术，实现农业产业的智能化管理、精准化服务和高效化协同。核心商业模式为订单撮合收取佣金及信息技术服务，服务于小规模种植户、新型农业经营主体、农业社会化服务主体、科研机构及政府管理部门等五类主体，提供合同签约、在线支付、发票开具等全流程闭环服务。</w:t>
      </w:r>
    </w:p>
    <w:p w14:paraId="1789831A">
      <w:pPr>
        <w:pStyle w:val="10"/>
        <w:rPr>
          <w:rFonts w:hint="eastAsia"/>
        </w:rPr>
      </w:pPr>
      <w:r>
        <w:drawing>
          <wp:inline distT="0" distB="0" distL="0" distR="0">
            <wp:extent cx="7115175" cy="4056380"/>
            <wp:effectExtent l="0" t="0" r="0" b="0"/>
            <wp:docPr id="1" name="image.png"/>
            <wp:cNvGraphicFramePr/>
            <a:graphic xmlns:a="http://schemas.openxmlformats.org/drawingml/2006/main">
              <a:graphicData uri="http://schemas.openxmlformats.org/drawingml/2006/picture">
                <pic:pic xmlns:pic="http://schemas.openxmlformats.org/drawingml/2006/picture">
                  <pic:nvPicPr>
                    <pic:cNvPr id="1" name="image.png"/>
                    <pic:cNvPicPr/>
                  </pic:nvPicPr>
                  <pic:blipFill>
                    <a:blip r:embed="rId4"/>
                    <a:stretch>
                      <a:fillRect/>
                    </a:stretch>
                  </pic:blipFill>
                  <pic:spPr>
                    <a:xfrm>
                      <a:off x="0" y="0"/>
                      <a:ext cx="7115175" cy="4056694"/>
                    </a:xfrm>
                    <a:prstGeom prst="rect">
                      <a:avLst/>
                    </a:prstGeom>
                  </pic:spPr>
                </pic:pic>
              </a:graphicData>
            </a:graphic>
          </wp:inline>
        </w:drawing>
      </w:r>
    </w:p>
    <w:p w14:paraId="117735C5">
      <w:pPr>
        <w:pStyle w:val="10"/>
        <w:rPr>
          <w:rFonts w:hint="eastAsia"/>
        </w:rPr>
      </w:pPr>
    </w:p>
    <w:p w14:paraId="25567852">
      <w:pPr>
        <w:pStyle w:val="10"/>
        <w:pBdr>
          <w:top w:val="single" w:color="000000" w:sz="6" w:space="0"/>
        </w:pBdr>
        <w:rPr>
          <w:rFonts w:hint="eastAsia"/>
        </w:rPr>
      </w:pPr>
    </w:p>
    <w:p w14:paraId="0152ACA6">
      <w:pPr>
        <w:pStyle w:val="3"/>
        <w:rPr>
          <w:rFonts w:hint="eastAsia"/>
        </w:rPr>
      </w:pPr>
      <w:r>
        <w:t>二、支付场景及需求</w:t>
      </w:r>
    </w:p>
    <w:p w14:paraId="5BB5FB06">
      <w:pPr>
        <w:pStyle w:val="4"/>
        <w:rPr>
          <w:rFonts w:hint="eastAsia"/>
        </w:rPr>
      </w:pPr>
      <w:r>
        <w:t>1. 撮合交易场景</w:t>
      </w:r>
    </w:p>
    <w:p w14:paraId="6F6C0126">
      <w:pPr>
        <w:pStyle w:val="10"/>
        <w:rPr>
          <w:rFonts w:hint="eastAsia"/>
        </w:rPr>
      </w:pPr>
      <w:r>
        <w:rPr>
          <w:b/>
        </w:rPr>
        <w:t>场景描述</w:t>
      </w:r>
      <w:r>
        <w:t xml:space="preserve">：  </w:t>
      </w:r>
      <w:r>
        <w:br w:type="textWrapping"/>
      </w:r>
      <w:r>
        <w:t>上下游客户通过平台完成合同签约、在线支付及资金清分，形成交易闭环。</w:t>
      </w:r>
    </w:p>
    <w:p w14:paraId="1D7510A8">
      <w:pPr>
        <w:pStyle w:val="10"/>
        <w:rPr>
          <w:rFonts w:hint="eastAsia"/>
        </w:rPr>
      </w:pPr>
      <w:r>
        <w:rPr>
          <w:b/>
        </w:rPr>
        <w:t>需求明细</w:t>
      </w:r>
      <w:r>
        <w:t>：</w:t>
      </w:r>
    </w:p>
    <w:p w14:paraId="2F0CCEA1">
      <w:pPr>
        <w:pStyle w:val="10"/>
        <w:numPr>
          <w:ilvl w:val="0"/>
          <w:numId w:val="1"/>
        </w:numPr>
        <w:rPr>
          <w:rFonts w:hint="eastAsia"/>
        </w:rPr>
      </w:pPr>
      <w:r>
        <w:rPr>
          <w:b/>
        </w:rPr>
        <w:t>资金清分</w:t>
      </w:r>
      <w:r>
        <w:t>：</w:t>
      </w:r>
      <w:r>
        <w:br w:type="textWrapping"/>
      </w:r>
    </w:p>
    <w:p w14:paraId="195FC8E9">
      <w:pPr>
        <w:pStyle w:val="10"/>
        <w:numPr>
          <w:ilvl w:val="1"/>
          <w:numId w:val="1"/>
        </w:numPr>
        <w:rPr>
          <w:rFonts w:hint="eastAsia"/>
          <w:highlight w:val="yellow"/>
        </w:rPr>
      </w:pPr>
      <w:r>
        <w:t>预付资金按业务指令触发后自动分配：平台收取一定比例的技术服务费（比例可根据订单指令动态调整），剩余资金归上游供应商。</w:t>
      </w:r>
      <w:r>
        <w:rPr>
          <w:rFonts w:hint="eastAsia"/>
          <w:highlight w:val="yellow"/>
        </w:rPr>
        <w:t>（标准版云商通、ISV版云商通均可实现按交易订单进行比例抽佣）</w:t>
      </w:r>
    </w:p>
    <w:p w14:paraId="0AAB64FF">
      <w:pPr>
        <w:pStyle w:val="10"/>
        <w:numPr>
          <w:ilvl w:val="1"/>
          <w:numId w:val="1"/>
        </w:numPr>
      </w:pPr>
      <w:r>
        <w:t>要求支持多级分账功能，确保资金流向透明可追溯。</w:t>
      </w:r>
    </w:p>
    <w:p w14:paraId="681E4888">
      <w:pPr>
        <w:pStyle w:val="10"/>
        <w:ind w:left="840"/>
        <w:rPr>
          <w:rFonts w:hint="eastAsia"/>
        </w:rPr>
      </w:pPr>
      <w:r>
        <w:rPr>
          <w:rFonts w:hint="eastAsia"/>
          <w:highlight w:val="yellow"/>
        </w:rPr>
        <w:t>（分账为标准版云商通核心功能，ISV版云商通中不涉及分账，此功能无法实现）</w:t>
      </w:r>
    </w:p>
    <w:p w14:paraId="6ABB7950">
      <w:pPr>
        <w:pStyle w:val="10"/>
        <w:ind w:left="840"/>
        <w:rPr>
          <w:rFonts w:hint="eastAsia"/>
        </w:rPr>
      </w:pPr>
      <w:r>
        <w:drawing>
          <wp:inline distT="0" distB="0" distL="0" distR="0">
            <wp:extent cx="4648200" cy="4178300"/>
            <wp:effectExtent l="0" t="0" r="0" b="0"/>
            <wp:docPr id="116798066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80660" name="图片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648200" cy="4178300"/>
                    </a:xfrm>
                    <a:prstGeom prst="rect">
                      <a:avLst/>
                    </a:prstGeom>
                    <a:noFill/>
                    <a:ln>
                      <a:noFill/>
                    </a:ln>
                  </pic:spPr>
                </pic:pic>
              </a:graphicData>
            </a:graphic>
          </wp:inline>
        </w:drawing>
      </w:r>
    </w:p>
    <w:p w14:paraId="6CB702EA">
      <w:pPr>
        <w:pStyle w:val="10"/>
        <w:ind w:left="840"/>
        <w:rPr>
          <w:rFonts w:hint="eastAsia"/>
        </w:rPr>
      </w:pPr>
    </w:p>
    <w:p w14:paraId="6C4E2FA6">
      <w:pPr>
        <w:pStyle w:val="10"/>
        <w:numPr>
          <w:ilvl w:val="0"/>
          <w:numId w:val="1"/>
        </w:numPr>
        <w:rPr>
          <w:rFonts w:hint="eastAsia"/>
        </w:rPr>
      </w:pPr>
      <w:r>
        <w:rPr>
          <w:b/>
        </w:rPr>
        <w:t>发票开具</w:t>
      </w:r>
      <w:r>
        <w:t>：</w:t>
      </w:r>
      <w:r>
        <w:br w:type="textWrapping"/>
      </w:r>
    </w:p>
    <w:p w14:paraId="0E86E92C">
      <w:pPr>
        <w:pStyle w:val="10"/>
        <w:numPr>
          <w:ilvl w:val="1"/>
          <w:numId w:val="1"/>
        </w:numPr>
        <w:rPr>
          <w:rFonts w:hint="eastAsia"/>
        </w:rPr>
      </w:pPr>
      <w:r>
        <w:t>平台仅针对收取的技术服务费开具发票，上游供应商需自行向下游客户开具商品或服务发票。此类场景，</w:t>
      </w:r>
      <w:r>
        <w:rPr>
          <w:b/>
          <w:color w:val="FE0300"/>
          <w:u w:val="single"/>
        </w:rPr>
        <w:t>平台不直接参与业务经营。</w:t>
      </w:r>
    </w:p>
    <w:p w14:paraId="68ABE5D1">
      <w:pPr>
        <w:pStyle w:val="10"/>
        <w:numPr>
          <w:ilvl w:val="1"/>
          <w:numId w:val="1"/>
        </w:numPr>
        <w:rPr>
          <w:rFonts w:hint="eastAsia"/>
        </w:rPr>
      </w:pPr>
      <w:r>
        <w:t>平台支持电子发票自动推送及存档功能。（平台自身建设中）</w:t>
      </w:r>
    </w:p>
    <w:p w14:paraId="259C82E8">
      <w:pPr>
        <w:pStyle w:val="10"/>
        <w:numPr>
          <w:ilvl w:val="0"/>
          <w:numId w:val="1"/>
        </w:numPr>
        <w:rPr>
          <w:rFonts w:hint="eastAsia"/>
        </w:rPr>
      </w:pPr>
      <w:r>
        <w:rPr>
          <w:b/>
        </w:rPr>
        <w:t>风险控制</w:t>
      </w:r>
      <w:r>
        <w:t>：</w:t>
      </w:r>
      <w:r>
        <w:br w:type="textWrapping"/>
      </w:r>
    </w:p>
    <w:p w14:paraId="0056BB0D">
      <w:pPr>
        <w:pStyle w:val="10"/>
        <w:numPr>
          <w:ilvl w:val="1"/>
          <w:numId w:val="1"/>
        </w:numPr>
      </w:pPr>
      <w:r>
        <w:t>平台交易需满足“四流合一”（合同流、资金流、物流、票据流），以便支持业务推广与落地，确保大B客户的大额转账收款方为实际提供服务的企业名称，而非平台或支付机构。</w:t>
      </w:r>
    </w:p>
    <w:p w14:paraId="5DAEB34E">
      <w:pPr>
        <w:pStyle w:val="10"/>
        <w:ind w:left="840"/>
      </w:pPr>
    </w:p>
    <w:p w14:paraId="30B39004">
      <w:pPr>
        <w:pStyle w:val="10"/>
        <w:ind w:left="840"/>
        <w:rPr>
          <w:rFonts w:hint="eastAsia"/>
        </w:rPr>
      </w:pPr>
    </w:p>
    <w:p w14:paraId="1175E923">
      <w:pPr>
        <w:pStyle w:val="10"/>
        <w:spacing w:line="360" w:lineRule="auto"/>
        <w:ind w:left="420"/>
        <w:rPr>
          <w:color w:val="000000" w:themeColor="text1"/>
          <w14:textFill>
            <w14:solidFill>
              <w14:schemeClr w14:val="tx1"/>
            </w14:solidFill>
          </w14:textFill>
        </w:rPr>
      </w:pPr>
      <w:r>
        <w:rPr>
          <w:rFonts w:hint="eastAsia"/>
          <w:color w:val="000000" w:themeColor="text1"/>
          <w:highlight w:val="yellow"/>
          <w14:textFill>
            <w14:solidFill>
              <w14:schemeClr w14:val="tx1"/>
            </w14:solidFill>
          </w14:textFill>
        </w:rPr>
        <w:t>通联支付：</w:t>
      </w:r>
      <w:r>
        <w:rPr>
          <w:color w:val="000000" w:themeColor="text1"/>
          <w:highlight w:val="yellow"/>
          <w14:textFill>
            <w14:solidFill>
              <w14:schemeClr w14:val="tx1"/>
            </w14:solidFill>
          </w14:textFill>
        </w:rPr>
        <w:t>平台型企业不同于传统商户，平台资金性质属于客户备付金范畴，平台为了提高自身服务水平和买卖双方的效率，提供了收付款渠道，但交易资金实际上不应该被平台占用，也不应由平台对收单资金进行二次清分结算。为了避免平台运营的合规风险，提升平台公信力，可使用由支付机构提供的账簿系统对平台资金进行管理，自证合规运营。</w:t>
      </w:r>
    </w:p>
    <w:p w14:paraId="2A14400B">
      <w:pPr>
        <w:pStyle w:val="10"/>
        <w:spacing w:line="360" w:lineRule="auto"/>
        <w:ind w:left="420"/>
        <w:rPr>
          <w:color w:val="000000" w:themeColor="text1"/>
          <w14:textFill>
            <w14:solidFill>
              <w14:schemeClr w14:val="tx1"/>
            </w14:solidFill>
          </w14:textFill>
        </w:rPr>
      </w:pPr>
      <w:r>
        <w:rPr>
          <w:rFonts w:hint="eastAsia"/>
          <w:color w:val="000000" w:themeColor="text1"/>
          <w:highlight w:val="yellow"/>
          <w14:textFill>
            <w14:solidFill>
              <w14:schemeClr w14:val="tx1"/>
            </w14:solidFill>
          </w14:textFill>
        </w:rPr>
        <w:t>标准版云商通：收款主体（平台方、小B商家两种模式都支持）</w:t>
      </w:r>
    </w:p>
    <w:p w14:paraId="6E34F265">
      <w:pPr>
        <w:pStyle w:val="10"/>
        <w:spacing w:line="360" w:lineRule="auto"/>
        <w:ind w:left="42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付款主体（平台方名称）</w:t>
      </w:r>
    </w:p>
    <w:p w14:paraId="18EE862A">
      <w:pPr>
        <w:pStyle w:val="10"/>
        <w:spacing w:line="360" w:lineRule="auto"/>
        <w:ind w:left="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资金：托收+托付，平台方与小B签订的协议里有约定分账规则，有具体的比例或金额等，体现平台方作为资金中介需要做托收托付等。</w:t>
      </w:r>
    </w:p>
    <w:p w14:paraId="6E9426BB">
      <w:pPr>
        <w:pStyle w:val="10"/>
        <w:spacing w:line="360" w:lineRule="auto"/>
        <w:ind w:left="420"/>
        <w:rPr>
          <w:rFonts w:hint="eastAsia"/>
          <w:color w:val="000000" w:themeColor="text1"/>
          <w14:textFill>
            <w14:solidFill>
              <w14:schemeClr w14:val="tx1"/>
            </w14:solidFill>
          </w14:textFill>
        </w:rPr>
      </w:pPr>
    </w:p>
    <w:p w14:paraId="0D34CD68">
      <w:pPr>
        <w:pStyle w:val="10"/>
        <w:spacing w:line="360" w:lineRule="auto"/>
        <w:ind w:left="420"/>
        <w:rPr>
          <w:color w:val="000000" w:themeColor="text1"/>
          <w14:textFill>
            <w14:solidFill>
              <w14:schemeClr w14:val="tx1"/>
            </w14:solidFill>
          </w14:textFill>
        </w:rPr>
      </w:pPr>
      <w:r>
        <w:rPr>
          <w:rFonts w:hint="eastAsia"/>
          <w:color w:val="000000" w:themeColor="text1"/>
          <w14:textFill>
            <w14:solidFill>
              <w14:schemeClr w14:val="tx1"/>
            </w14:solidFill>
          </w14:textFill>
        </w:rPr>
        <w:t>ISV版云商通：收款主体（小B商家）</w:t>
      </w:r>
    </w:p>
    <w:p w14:paraId="1EE06C94">
      <w:pPr>
        <w:pStyle w:val="10"/>
        <w:spacing w:line="360" w:lineRule="auto"/>
        <w:ind w:left="42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资金直接结算给小B商家，平台方抽佣比例（不得超过5%）</w:t>
      </w:r>
    </w:p>
    <w:p w14:paraId="7B709120">
      <w:pPr>
        <w:widowControl/>
        <w:jc w:val="left"/>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优点：可实现四流一致。缺点：平台方仅作为技术服务方进行抽佣，缺乏平台公信力。小b商家需按照通联要求提供资料在通联入网为收单商户，工作量较大，效率低，影响平台业务拓展。。</w:t>
      </w:r>
    </w:p>
    <w:p w14:paraId="1A46168F">
      <w:pPr>
        <w:widowControl/>
        <w:jc w:val="left"/>
        <w:rPr>
          <w:rFonts w:hint="eastAsia"/>
          <w:color w:val="000000" w:themeColor="text1"/>
          <w:sz w:val="24"/>
          <w14:textFill>
            <w14:solidFill>
              <w14:schemeClr w14:val="tx1"/>
            </w14:solidFill>
          </w14:textFill>
        </w:rPr>
      </w:pPr>
      <w:r>
        <w:rPr>
          <w:rFonts w:hint="eastAsia"/>
          <w:color w:val="000000" w:themeColor="text1"/>
          <w14:textFill>
            <w14:solidFill>
              <w14:schemeClr w14:val="tx1"/>
            </w14:solidFill>
          </w14:textFill>
        </w:rPr>
        <w:t xml:space="preserve">   </w:t>
      </w:r>
    </w:p>
    <w:p w14:paraId="0327D526">
      <w:pPr>
        <w:pStyle w:val="10"/>
        <w:spacing w:line="360" w:lineRule="auto"/>
        <w:ind w:left="420"/>
        <w:rPr>
          <w:rFonts w:hint="eastAsia"/>
          <w:color w:val="000000" w:themeColor="text1"/>
          <w14:textFill>
            <w14:solidFill>
              <w14:schemeClr w14:val="tx1"/>
            </w14:solidFill>
          </w14:textFill>
        </w:rPr>
      </w:pPr>
    </w:p>
    <w:p w14:paraId="05E7F4E0">
      <w:pPr>
        <w:pStyle w:val="10"/>
        <w:spacing w:line="360" w:lineRule="auto"/>
        <w:ind w:left="420"/>
        <w:rPr>
          <w:rFonts w:hint="eastAsia"/>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484495" cy="3228975"/>
            <wp:effectExtent l="0" t="0" r="1905" b="9525"/>
            <wp:docPr id="16269103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10341"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484495" cy="3228975"/>
                    </a:xfrm>
                    <a:prstGeom prst="rect">
                      <a:avLst/>
                    </a:prstGeom>
                    <a:noFill/>
                    <a:ln>
                      <a:noFill/>
                    </a:ln>
                  </pic:spPr>
                </pic:pic>
              </a:graphicData>
            </a:graphic>
          </wp:inline>
        </w:drawing>
      </w:r>
    </w:p>
    <w:p w14:paraId="2BC888D6">
      <w:pPr>
        <w:pStyle w:val="10"/>
        <w:ind w:left="42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681980" cy="3184525"/>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85279" cy="3186425"/>
                    </a:xfrm>
                    <a:prstGeom prst="rect">
                      <a:avLst/>
                    </a:prstGeom>
                  </pic:spPr>
                </pic:pic>
              </a:graphicData>
            </a:graphic>
          </wp:inline>
        </w:drawing>
      </w:r>
    </w:p>
    <w:p w14:paraId="5391421B">
      <w:pPr>
        <w:pStyle w:val="10"/>
        <w:ind w:left="420"/>
        <w:rPr>
          <w:rFonts w:hint="eastAsia"/>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485130" cy="3846830"/>
            <wp:effectExtent l="0" t="0" r="1270" b="1270"/>
            <wp:docPr id="2646986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98634"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485130" cy="3846830"/>
                    </a:xfrm>
                    <a:prstGeom prst="rect">
                      <a:avLst/>
                    </a:prstGeom>
                    <a:noFill/>
                    <a:ln>
                      <a:noFill/>
                    </a:ln>
                  </pic:spPr>
                </pic:pic>
              </a:graphicData>
            </a:graphic>
          </wp:inline>
        </w:drawing>
      </w:r>
    </w:p>
    <w:p w14:paraId="065BDA97">
      <w:pPr>
        <w:pStyle w:val="10"/>
        <w:ind w:left="840"/>
        <w:rPr>
          <w:rFonts w:hint="eastAsia"/>
          <w:color w:val="000000" w:themeColor="text1"/>
          <w14:textFill>
            <w14:solidFill>
              <w14:schemeClr w14:val="tx1"/>
            </w14:solidFill>
          </w14:textFill>
        </w:rPr>
      </w:pPr>
    </w:p>
    <w:p w14:paraId="1A52A11D">
      <w:pPr>
        <w:pStyle w:val="4"/>
        <w:rPr>
          <w:rFonts w:hint="eastAsia"/>
        </w:rPr>
      </w:pPr>
      <w:r>
        <w:t>2. 垂直业务系统支付场景</w:t>
      </w:r>
    </w:p>
    <w:p w14:paraId="6EFBA2A3">
      <w:pPr>
        <w:pStyle w:val="10"/>
        <w:rPr>
          <w:rFonts w:hint="eastAsia"/>
        </w:rPr>
      </w:pPr>
      <w:r>
        <w:t>平台各业务系统同样具备垂直的支付场景，该场景较多，以部分为例进行说明：</w:t>
      </w:r>
    </w:p>
    <w:p w14:paraId="469B2BE6">
      <w:pPr>
        <w:pStyle w:val="5"/>
        <w:rPr>
          <w:rFonts w:hint="eastAsia"/>
        </w:rPr>
      </w:pPr>
      <w:r>
        <w:t>（1）农业综合水价改革系统</w:t>
      </w:r>
    </w:p>
    <w:p w14:paraId="49EFFD22">
      <w:pPr>
        <w:pStyle w:val="10"/>
        <w:rPr>
          <w:rFonts w:hint="eastAsia"/>
        </w:rPr>
      </w:pPr>
      <w:r>
        <w:rPr>
          <w:b/>
        </w:rPr>
        <w:t>场景描述</w:t>
      </w:r>
      <w:r>
        <w:t xml:space="preserve">：  </w:t>
      </w:r>
      <w:r>
        <w:br w:type="textWrapping"/>
      </w:r>
      <w:r>
        <w:t>农户通过小程序完成水费缴费充值，支持刷卡取电。</w:t>
      </w:r>
    </w:p>
    <w:p w14:paraId="16CECE61">
      <w:pPr>
        <w:pStyle w:val="10"/>
        <w:rPr>
          <w:rFonts w:hint="eastAsia"/>
        </w:rPr>
      </w:pPr>
      <w:r>
        <w:rPr>
          <w:b/>
        </w:rPr>
        <w:t>需求明细</w:t>
      </w:r>
      <w:r>
        <w:t>：</w:t>
      </w:r>
    </w:p>
    <w:p w14:paraId="16D02E97">
      <w:pPr>
        <w:pStyle w:val="10"/>
        <w:numPr>
          <w:ilvl w:val="0"/>
          <w:numId w:val="2"/>
        </w:numPr>
        <w:rPr>
          <w:rFonts w:hint="eastAsia"/>
        </w:rPr>
      </w:pPr>
      <w:r>
        <w:rPr>
          <w:b/>
        </w:rPr>
        <w:t>在线支付</w:t>
      </w:r>
      <w:r>
        <w:t>：</w:t>
      </w:r>
      <w:r>
        <w:br w:type="textWrapping"/>
      </w:r>
    </w:p>
    <w:p w14:paraId="4B98180B">
      <w:pPr>
        <w:pStyle w:val="10"/>
        <w:numPr>
          <w:ilvl w:val="1"/>
          <w:numId w:val="2"/>
        </w:numPr>
        <w:rPr>
          <w:rFonts w:hint="eastAsia"/>
        </w:rPr>
      </w:pPr>
      <w:r>
        <w:t>支持小程序端实时缴费，资金直接结算至对应水井管理方账户。</w:t>
      </w:r>
    </w:p>
    <w:p w14:paraId="24DF38E3">
      <w:pPr>
        <w:pStyle w:val="10"/>
        <w:numPr>
          <w:ilvl w:val="1"/>
          <w:numId w:val="2"/>
        </w:numPr>
        <w:rPr>
          <w:rFonts w:hint="eastAsia"/>
        </w:rPr>
      </w:pPr>
      <w:r>
        <w:t>提供余额查询、缴费记录导出功能。</w:t>
      </w:r>
    </w:p>
    <w:p w14:paraId="22961C9B">
      <w:pPr>
        <w:pStyle w:val="10"/>
        <w:numPr>
          <w:ilvl w:val="0"/>
          <w:numId w:val="2"/>
        </w:numPr>
        <w:rPr>
          <w:rFonts w:hint="eastAsia"/>
        </w:rPr>
      </w:pPr>
      <w:r>
        <w:rPr>
          <w:b/>
        </w:rPr>
        <w:t>账期管理</w:t>
      </w:r>
      <w:r>
        <w:t>：</w:t>
      </w:r>
      <w:r>
        <w:br w:type="textWrapping"/>
      </w:r>
    </w:p>
    <w:p w14:paraId="73D42C5D">
      <w:pPr>
        <w:pStyle w:val="10"/>
        <w:numPr>
          <w:ilvl w:val="1"/>
          <w:numId w:val="2"/>
        </w:numPr>
        <w:rPr>
          <w:rFonts w:hint="eastAsia"/>
        </w:rPr>
      </w:pPr>
      <w:r>
        <w:t>支持农户预存水费，按实际用电量扣减，避免欠费风险。</w:t>
      </w:r>
    </w:p>
    <w:p w14:paraId="2DB6E59F">
      <w:pPr>
        <w:pStyle w:val="5"/>
        <w:rPr>
          <w:rFonts w:hint="eastAsia"/>
        </w:rPr>
      </w:pPr>
      <w:r>
        <w:t>（2）机井维修场景</w:t>
      </w:r>
    </w:p>
    <w:p w14:paraId="5C93C5B9">
      <w:pPr>
        <w:pStyle w:val="10"/>
        <w:rPr>
          <w:rFonts w:hint="eastAsia"/>
        </w:rPr>
      </w:pPr>
      <w:r>
        <w:rPr>
          <w:b/>
        </w:rPr>
        <w:t>场景描述</w:t>
      </w:r>
      <w:r>
        <w:t xml:space="preserve">：  </w:t>
      </w:r>
      <w:r>
        <w:br w:type="textWrapping"/>
      </w:r>
      <w:r>
        <w:t>维修费用支付与任务单管理结合，需分阶段结算。</w:t>
      </w:r>
    </w:p>
    <w:p w14:paraId="2C15368E">
      <w:pPr>
        <w:pStyle w:val="10"/>
        <w:rPr>
          <w:rFonts w:hint="eastAsia"/>
        </w:rPr>
      </w:pPr>
      <w:r>
        <w:rPr>
          <w:b/>
        </w:rPr>
        <w:t>需求明细</w:t>
      </w:r>
      <w:r>
        <w:t>：</w:t>
      </w:r>
    </w:p>
    <w:p w14:paraId="44DAB216">
      <w:pPr>
        <w:pStyle w:val="10"/>
        <w:numPr>
          <w:ilvl w:val="0"/>
          <w:numId w:val="3"/>
        </w:numPr>
        <w:rPr>
          <w:rFonts w:hint="eastAsia"/>
        </w:rPr>
      </w:pPr>
      <w:r>
        <w:rPr>
          <w:b/>
        </w:rPr>
        <w:t>预付与结算</w:t>
      </w:r>
      <w:r>
        <w:t>：</w:t>
      </w:r>
      <w:r>
        <w:br w:type="textWrapping"/>
      </w:r>
    </w:p>
    <w:p w14:paraId="14EEE14B">
      <w:pPr>
        <w:pStyle w:val="10"/>
        <w:numPr>
          <w:ilvl w:val="1"/>
          <w:numId w:val="3"/>
        </w:numPr>
        <w:rPr>
          <w:rFonts w:hint="eastAsia"/>
        </w:rPr>
      </w:pPr>
      <w:r>
        <w:t>任务单下发时，平台客户预付维修费用至服务商（或服务人员）账户（比例可配置，平台是否抽佣、抽佣比例也都可以自定义）。</w:t>
      </w:r>
    </w:p>
    <w:p w14:paraId="2B45B1EB">
      <w:pPr>
        <w:pStyle w:val="10"/>
        <w:numPr>
          <w:ilvl w:val="1"/>
          <w:numId w:val="3"/>
        </w:numPr>
        <w:rPr>
          <w:rFonts w:hint="eastAsia"/>
        </w:rPr>
      </w:pPr>
      <w:r>
        <w:t>维修完成后，自动进行费用结算。</w:t>
      </w:r>
    </w:p>
    <w:p w14:paraId="2BC75CA3">
      <w:pPr>
        <w:pStyle w:val="10"/>
        <w:numPr>
          <w:ilvl w:val="0"/>
          <w:numId w:val="3"/>
        </w:numPr>
        <w:rPr>
          <w:rFonts w:hint="eastAsia"/>
        </w:rPr>
      </w:pPr>
      <w:r>
        <w:rPr>
          <w:b/>
        </w:rPr>
        <w:t>担保交易</w:t>
      </w:r>
      <w:r>
        <w:t>：</w:t>
      </w:r>
      <w:r>
        <w:br w:type="textWrapping"/>
      </w:r>
    </w:p>
    <w:p w14:paraId="1A39B202">
      <w:pPr>
        <w:pStyle w:val="10"/>
        <w:numPr>
          <w:ilvl w:val="1"/>
          <w:numId w:val="3"/>
        </w:numPr>
        <w:rPr>
          <w:rFonts w:hint="eastAsia"/>
        </w:rPr>
      </w:pPr>
      <w:r>
        <w:t>资金暂存于平台担保账户，根据业务质量，如，确保维修质量达标后释放尾款。</w:t>
      </w:r>
    </w:p>
    <w:p w14:paraId="7F7C529A">
      <w:pPr>
        <w:pStyle w:val="10"/>
        <w:pBdr>
          <w:top w:val="single" w:color="000000" w:sz="6" w:space="0"/>
        </w:pBdr>
        <w:rPr>
          <w:highlight w:val="yellow"/>
        </w:rPr>
      </w:pPr>
      <w:r>
        <w:rPr>
          <w:rFonts w:hint="eastAsia"/>
          <w:highlight w:val="yellow"/>
        </w:rPr>
        <w:t>通联支付：此类交易场景为小额、高频，需要预充值，部分资金原路退款等功能，对退款的时效要求极高。</w:t>
      </w:r>
      <w:r>
        <w:rPr>
          <w:rFonts w:hint="eastAsia"/>
          <w:b/>
          <w:bCs/>
          <w:highlight w:val="yellow"/>
        </w:rPr>
        <w:t>总体可以归纳为临时充（单次消费，即买即走）和充值充（多次消费，余额支付）两种业务场景，</w:t>
      </w:r>
    </w:p>
    <w:p w14:paraId="326EB392">
      <w:pPr>
        <w:pStyle w:val="10"/>
        <w:pBdr>
          <w:top w:val="single" w:color="000000" w:sz="6" w:space="0"/>
        </w:pBdr>
      </w:pPr>
      <w:r>
        <w:rPr>
          <w:rFonts w:hint="eastAsia"/>
          <w:highlight w:val="yellow"/>
        </w:rPr>
        <w:t>此场景只有云商通标准版可以解决，需要平台方做资金的托收托付。</w:t>
      </w:r>
    </w:p>
    <w:p w14:paraId="5F019ADB">
      <w:pPr>
        <w:pStyle w:val="10"/>
        <w:pBdr>
          <w:top w:val="single" w:color="000000" w:sz="6" w:space="0"/>
        </w:pBdr>
        <w:rPr>
          <w:rFonts w:hint="eastAsia"/>
        </w:rPr>
      </w:pPr>
      <w:r>
        <w:rPr>
          <w:rFonts w:hint="eastAsia"/>
        </w:rPr>
        <w:t xml:space="preserve">  </w:t>
      </w:r>
    </w:p>
    <w:p w14:paraId="2E60F93C">
      <w:pPr>
        <w:pStyle w:val="10"/>
        <w:pBdr>
          <w:top w:val="single" w:color="000000" w:sz="6" w:space="0"/>
        </w:pBdr>
      </w:pPr>
    </w:p>
    <w:p w14:paraId="0415F464">
      <w:pPr>
        <w:pStyle w:val="10"/>
        <w:pBdr>
          <w:top w:val="single" w:color="000000" w:sz="6" w:space="0"/>
        </w:pBdr>
        <w:rPr>
          <w:rFonts w:hint="eastAsia"/>
          <w:b/>
          <w:bCs/>
        </w:rPr>
      </w:pPr>
      <w:r>
        <w:rPr>
          <w:rFonts w:hint="eastAsia"/>
          <w:b/>
          <w:bCs/>
        </w:rPr>
        <w:t>临时充解决方案、业务实现核心接口：消费</w:t>
      </w:r>
      <w:r>
        <w:rPr>
          <w:b/>
          <w:bCs/>
        </w:rPr>
        <w:t>+</w:t>
      </w:r>
      <w:r>
        <w:rPr>
          <w:rFonts w:hint="eastAsia"/>
          <w:b/>
          <w:bCs/>
        </w:rPr>
        <w:t>退款</w:t>
      </w:r>
      <w:bookmarkStart w:id="0" w:name="_GoBack"/>
      <w:bookmarkEnd w:id="0"/>
      <w: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7124700" cy="3416300"/>
            <wp:effectExtent l="0" t="0" r="0" b="0"/>
            <wp:wrapSquare wrapText="bothSides"/>
            <wp:docPr id="4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24700" cy="3416300"/>
                    </a:xfrm>
                    <a:prstGeom prst="rect">
                      <a:avLst/>
                    </a:prstGeom>
                  </pic:spPr>
                </pic:pic>
              </a:graphicData>
            </a:graphic>
          </wp:anchor>
        </w:drawing>
      </w:r>
    </w:p>
    <w:p w14:paraId="06D0F67F">
      <w:pPr>
        <w:pStyle w:val="10"/>
        <w:pBdr>
          <w:top w:val="single" w:color="000000" w:sz="6" w:space="0"/>
        </w:pBdr>
        <w:rPr>
          <w:rFonts w:hint="eastAsia"/>
        </w:rPr>
      </w:pPr>
      <w:r>
        <w:rPr>
          <w:rFonts w:hint="eastAsia"/>
          <w:b/>
          <w:bCs/>
        </w:rPr>
        <w:t>充值解决方案、核心接口：托收托付简化校验版，业务系统记录会员余额</w:t>
      </w:r>
    </w:p>
    <w:p w14:paraId="5BEBAE65">
      <w:pPr>
        <w:pStyle w:val="3"/>
        <w:rPr>
          <w:rFonts w:hint="eastAsia"/>
        </w:rPr>
      </w:pPr>
      <w:r>
        <w:drawing>
          <wp:anchor distT="0" distB="0" distL="114300" distR="114300" simplePos="0" relativeHeight="251659264" behindDoc="0" locked="0" layoutInCell="1" allowOverlap="1">
            <wp:simplePos x="0" y="0"/>
            <wp:positionH relativeFrom="column">
              <wp:posOffset>-44450</wp:posOffset>
            </wp:positionH>
            <wp:positionV relativeFrom="paragraph">
              <wp:posOffset>149225</wp:posOffset>
            </wp:positionV>
            <wp:extent cx="7124700" cy="3542665"/>
            <wp:effectExtent l="0" t="0" r="0" b="635"/>
            <wp:wrapNone/>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24700" cy="3542665"/>
                    </a:xfrm>
                    <a:prstGeom prst="rect">
                      <a:avLst/>
                    </a:prstGeom>
                  </pic:spPr>
                </pic:pic>
              </a:graphicData>
            </a:graphic>
          </wp:anchor>
        </w:drawing>
      </w:r>
      <w:r>
        <w:t>三、关键技术能力需求</w:t>
      </w:r>
    </w:p>
    <w:p w14:paraId="7B8E4808">
      <w:pPr>
        <w:pStyle w:val="10"/>
        <w:numPr>
          <w:ilvl w:val="0"/>
          <w:numId w:val="4"/>
        </w:numPr>
        <w:rPr>
          <w:rFonts w:hint="eastAsia"/>
        </w:rPr>
      </w:pPr>
      <w:r>
        <w:rPr>
          <w:b/>
        </w:rPr>
        <w:t>基本支付功能：</w:t>
      </w:r>
    </w:p>
    <w:p w14:paraId="1C6E57F7">
      <w:pPr>
        <w:pStyle w:val="10"/>
        <w:numPr>
          <w:ilvl w:val="1"/>
          <w:numId w:val="4"/>
        </w:numPr>
        <w:rPr>
          <w:rFonts w:hint="eastAsia"/>
        </w:rPr>
      </w:pPr>
      <w:r>
        <w:t>如，开户、绑卡、入金、出金、对账、交易明细、交易凭证等</w:t>
      </w:r>
    </w:p>
    <w:p w14:paraId="5031585A">
      <w:pPr>
        <w:pStyle w:val="10"/>
        <w:numPr>
          <w:ilvl w:val="0"/>
          <w:numId w:val="4"/>
        </w:numPr>
        <w:rPr>
          <w:rFonts w:hint="eastAsia"/>
        </w:rPr>
      </w:pPr>
      <w:r>
        <w:rPr>
          <w:b/>
        </w:rPr>
        <w:t>清分功能</w:t>
      </w:r>
      <w:r>
        <w:t>：</w:t>
      </w:r>
    </w:p>
    <w:p w14:paraId="10174253">
      <w:pPr>
        <w:pStyle w:val="10"/>
        <w:numPr>
          <w:ilvl w:val="1"/>
          <w:numId w:val="4"/>
        </w:numPr>
        <w:rPr>
          <w:rFonts w:hint="eastAsia"/>
        </w:rPr>
      </w:pPr>
      <w:r>
        <w:t>支持按业务指令自动拆分资金，兼容动态佣金比例（如3%或自定义比例，且可以自定义划拨时间）。</w:t>
      </w:r>
    </w:p>
    <w:p w14:paraId="67582485">
      <w:pPr>
        <w:pStyle w:val="10"/>
        <w:numPr>
          <w:ilvl w:val="1"/>
          <w:numId w:val="4"/>
        </w:numPr>
        <w:rPr>
          <w:rFonts w:hint="eastAsia"/>
        </w:rPr>
      </w:pPr>
      <w:r>
        <w:t>提供清分日志记录及对账接口，确保资金流向可审计。</w:t>
      </w:r>
    </w:p>
    <w:p w14:paraId="3B7DEF43">
      <w:pPr>
        <w:pStyle w:val="10"/>
        <w:numPr>
          <w:ilvl w:val="0"/>
          <w:numId w:val="4"/>
        </w:numPr>
        <w:rPr>
          <w:rFonts w:hint="eastAsia"/>
        </w:rPr>
      </w:pPr>
      <w:r>
        <w:rPr>
          <w:b/>
        </w:rPr>
        <w:t>在线支付</w:t>
      </w:r>
      <w:r>
        <w:t>：</w:t>
      </w:r>
    </w:p>
    <w:p w14:paraId="6950BB39">
      <w:pPr>
        <w:pStyle w:val="10"/>
        <w:numPr>
          <w:ilvl w:val="1"/>
          <w:numId w:val="4"/>
        </w:numPr>
        <w:rPr>
          <w:rFonts w:hint="eastAsia"/>
        </w:rPr>
      </w:pPr>
      <w:r>
        <w:t>支持多支付渠道（银行卡、微信、支付宝等）。</w:t>
      </w:r>
    </w:p>
    <w:p w14:paraId="592B6A66">
      <w:pPr>
        <w:pStyle w:val="10"/>
        <w:numPr>
          <w:ilvl w:val="1"/>
          <w:numId w:val="4"/>
        </w:numPr>
        <w:rPr>
          <w:rFonts w:hint="eastAsia"/>
        </w:rPr>
      </w:pPr>
      <w:r>
        <w:t>实现付款方与收款方直接交易，平台不参加业务活动（业务包括自营）。</w:t>
      </w:r>
    </w:p>
    <w:p w14:paraId="719DAC16">
      <w:pPr>
        <w:pStyle w:val="10"/>
        <w:numPr>
          <w:ilvl w:val="0"/>
          <w:numId w:val="4"/>
        </w:numPr>
        <w:rPr>
          <w:rFonts w:hint="eastAsia"/>
        </w:rPr>
      </w:pPr>
      <w:r>
        <w:rPr>
          <w:b/>
        </w:rPr>
        <w:t>担保交易</w:t>
      </w:r>
      <w:r>
        <w:t>：</w:t>
      </w:r>
    </w:p>
    <w:p w14:paraId="48DFAA73">
      <w:pPr>
        <w:pStyle w:val="10"/>
        <w:numPr>
          <w:ilvl w:val="1"/>
          <w:numId w:val="4"/>
        </w:numPr>
        <w:rPr>
          <w:rFonts w:hint="eastAsia"/>
        </w:rPr>
      </w:pPr>
      <w:r>
        <w:t>支持资金暂存于平台担保账户，按业务状态触发结算。</w:t>
      </w:r>
    </w:p>
    <w:p w14:paraId="479ACB54">
      <w:pPr>
        <w:pStyle w:val="10"/>
        <w:numPr>
          <w:ilvl w:val="1"/>
          <w:numId w:val="4"/>
        </w:numPr>
        <w:rPr>
          <w:rFonts w:hint="eastAsia"/>
        </w:rPr>
      </w:pPr>
      <w:r>
        <w:t>提供账期管理功能，支持自定义账期规则。</w:t>
      </w:r>
    </w:p>
    <w:p w14:paraId="18772F48">
      <w:pPr>
        <w:pStyle w:val="10"/>
        <w:numPr>
          <w:ilvl w:val="0"/>
          <w:numId w:val="4"/>
        </w:numPr>
        <w:rPr>
          <w:rFonts w:hint="eastAsia"/>
        </w:rPr>
      </w:pPr>
      <w:r>
        <w:rPr>
          <w:b/>
        </w:rPr>
        <w:t>合规性要求</w:t>
      </w:r>
      <w:r>
        <w:t>：</w:t>
      </w:r>
    </w:p>
    <w:p w14:paraId="2F5DA7DC">
      <w:pPr>
        <w:pStyle w:val="10"/>
        <w:numPr>
          <w:ilvl w:val="1"/>
          <w:numId w:val="4"/>
        </w:numPr>
        <w:rPr>
          <w:rFonts w:hint="eastAsia"/>
        </w:rPr>
      </w:pPr>
      <w:r>
        <w:t>符合《非金融机构支付服务管理办法》及银联、网联的合规要求。</w:t>
      </w:r>
    </w:p>
    <w:p w14:paraId="36FD806F">
      <w:pPr>
        <w:pStyle w:val="10"/>
        <w:numPr>
          <w:ilvl w:val="1"/>
          <w:numId w:val="4"/>
        </w:numPr>
        <w:rPr>
          <w:rFonts w:hint="eastAsia"/>
        </w:rPr>
      </w:pPr>
      <w:r>
        <w:t>支持与中信银行系统对接，确保交易数据实时同步。</w:t>
      </w:r>
    </w:p>
    <w:p w14:paraId="3634F02D">
      <w:pPr>
        <w:pStyle w:val="10"/>
        <w:pBdr>
          <w:top w:val="single" w:color="000000" w:sz="6" w:space="0"/>
        </w:pBdr>
        <w:rPr>
          <w:rFonts w:hint="eastAsia"/>
        </w:rPr>
      </w:pPr>
    </w:p>
    <w:p w14:paraId="27EEBDA0">
      <w:pPr>
        <w:pStyle w:val="3"/>
        <w:rPr>
          <w:rFonts w:hint="eastAsia"/>
        </w:rPr>
      </w:pPr>
      <w:r>
        <w:t>四、平台角色与限制</w:t>
      </w:r>
    </w:p>
    <w:p w14:paraId="0CED5D59">
      <w:pPr>
        <w:pStyle w:val="10"/>
        <w:numPr>
          <w:ilvl w:val="0"/>
          <w:numId w:val="5"/>
        </w:numPr>
        <w:rPr>
          <w:rFonts w:hint="eastAsia"/>
        </w:rPr>
      </w:pPr>
      <w:r>
        <w:rPr>
          <w:b/>
        </w:rPr>
        <w:t>平台角色</w:t>
      </w:r>
      <w:r>
        <w:t>：</w:t>
      </w:r>
    </w:p>
    <w:p w14:paraId="0922D7FB">
      <w:pPr>
        <w:pStyle w:val="10"/>
        <w:numPr>
          <w:ilvl w:val="1"/>
          <w:numId w:val="5"/>
        </w:numPr>
        <w:rPr>
          <w:rFonts w:hint="eastAsia"/>
        </w:rPr>
      </w:pPr>
      <w:r>
        <w:t>作为技术服务商，仅提供支付接口与清分规则配置，不参与上下游的业务活动。</w:t>
      </w:r>
    </w:p>
    <w:p w14:paraId="18C477F3">
      <w:pPr>
        <w:pStyle w:val="10"/>
        <w:numPr>
          <w:ilvl w:val="1"/>
          <w:numId w:val="5"/>
        </w:numPr>
        <w:rPr>
          <w:rFonts w:hint="eastAsia"/>
        </w:rPr>
      </w:pPr>
      <w:r>
        <w:t>不承担资金风险，仅对支付流程及清分逻辑相关技术服务负责。（支付通道，不涉及业务交易）</w:t>
      </w:r>
    </w:p>
    <w:p w14:paraId="443A6EDB">
      <w:pPr>
        <w:pStyle w:val="10"/>
        <w:numPr>
          <w:ilvl w:val="1"/>
          <w:numId w:val="5"/>
        </w:numPr>
        <w:rPr>
          <w:rFonts w:hint="eastAsia"/>
        </w:rPr>
      </w:pPr>
      <w:r>
        <w:t>平台作为业务撮合方，并不参与上下游的业务交易，也不对交易真实性等负责，具体交易由平台上下游自行负责。</w:t>
      </w:r>
    </w:p>
    <w:p w14:paraId="10BBAFA3">
      <w:pPr>
        <w:pStyle w:val="10"/>
        <w:numPr>
          <w:ilvl w:val="1"/>
          <w:numId w:val="5"/>
        </w:numPr>
      </w:pPr>
      <w:r>
        <w:t>平台后期涉及自营相关业务，如，商城自营。支付体系应支持自营业务等。</w:t>
      </w:r>
    </w:p>
    <w:p w14:paraId="5C29A8E3">
      <w:pPr>
        <w:pStyle w:val="10"/>
        <w:rPr>
          <w:rFonts w:hint="eastAsia"/>
        </w:rPr>
      </w:pPr>
    </w:p>
    <w:p w14:paraId="0B4DBF28">
      <w:pPr>
        <w:pStyle w:val="10"/>
        <w:numPr>
          <w:ilvl w:val="0"/>
          <w:numId w:val="5"/>
        </w:numPr>
        <w:rPr>
          <w:rFonts w:hint="eastAsia"/>
        </w:rPr>
      </w:pPr>
      <w:r>
        <w:rPr>
          <w:b/>
        </w:rPr>
        <w:t>关键限制</w:t>
      </w:r>
      <w:r>
        <w:t>：</w:t>
      </w:r>
    </w:p>
    <w:p w14:paraId="40AB2B30">
      <w:pPr>
        <w:pStyle w:val="10"/>
        <w:numPr>
          <w:ilvl w:val="1"/>
          <w:numId w:val="5"/>
        </w:numPr>
        <w:rPr>
          <w:rFonts w:hint="eastAsia"/>
        </w:rPr>
      </w:pPr>
      <w:r>
        <w:t>大B客户的大额转账需严格匹配实际商户名称，确保“四流合一”。</w:t>
      </w:r>
    </w:p>
    <w:p w14:paraId="01A4991F">
      <w:pPr>
        <w:pStyle w:val="10"/>
        <w:numPr>
          <w:ilvl w:val="1"/>
          <w:numId w:val="5"/>
        </w:numPr>
        <w:rPr>
          <w:rFonts w:hint="eastAsia"/>
        </w:rPr>
      </w:pPr>
      <w:r>
        <w:t>平台仅收取技术服务费（一定比例），未来可能扩展至其他增值场景。</w:t>
      </w:r>
    </w:p>
    <w:p w14:paraId="2292F515">
      <w:pPr>
        <w:pStyle w:val="10"/>
        <w:pBdr>
          <w:top w:val="single" w:color="000000" w:sz="6" w:space="0"/>
        </w:pBdr>
        <w:rPr>
          <w:rFonts w:hint="eastAsia"/>
        </w:rPr>
      </w:pPr>
      <w:r>
        <w:rPr>
          <w:rFonts w:hint="eastAsia"/>
          <w:highlight w:val="yellow"/>
        </w:rPr>
        <w:t>提示：大额转账业务因涉及反洗钱协查，对商户资质、支付限额审批会比较严，需商户配合提供真实经营、有大额支付需求的相关佐证材料。</w:t>
      </w:r>
    </w:p>
    <w:p w14:paraId="7AD0F0A8">
      <w:pPr>
        <w:pStyle w:val="3"/>
        <w:rPr>
          <w:rFonts w:hint="eastAsia"/>
        </w:rPr>
      </w:pPr>
      <w:r>
        <w:t>五、对接目标</w:t>
      </w:r>
    </w:p>
    <w:p w14:paraId="3CAD540E">
      <w:pPr>
        <w:pStyle w:val="10"/>
        <w:rPr>
          <w:rFonts w:hint="eastAsia"/>
        </w:rPr>
      </w:pPr>
      <w:r>
        <w:t>通过与中信银行支付系统的深度对接，实现以下目标：</w:t>
      </w:r>
    </w:p>
    <w:p w14:paraId="607E786C">
      <w:pPr>
        <w:pStyle w:val="10"/>
        <w:numPr>
          <w:ilvl w:val="0"/>
          <w:numId w:val="6"/>
        </w:numPr>
        <w:rPr>
          <w:rFonts w:hint="eastAsia"/>
        </w:rPr>
      </w:pPr>
      <w:r>
        <w:t>完成平台内交易场景的支付闭环，提升用户操作体验。</w:t>
      </w:r>
    </w:p>
    <w:p w14:paraId="6EDEB12E">
      <w:pPr>
        <w:pStyle w:val="10"/>
        <w:numPr>
          <w:ilvl w:val="0"/>
          <w:numId w:val="6"/>
        </w:numPr>
        <w:rPr>
          <w:rFonts w:hint="eastAsia"/>
        </w:rPr>
      </w:pPr>
      <w:r>
        <w:t>确保资金清分透明、合规，降低业务风险。</w:t>
      </w:r>
    </w:p>
    <w:p w14:paraId="70402BC4">
      <w:pPr>
        <w:pStyle w:val="10"/>
        <w:numPr>
          <w:ilvl w:val="0"/>
          <w:numId w:val="6"/>
        </w:numPr>
        <w:rPr>
          <w:rFonts w:hint="eastAsia"/>
        </w:rPr>
      </w:pPr>
      <w:r>
        <w:t>为农业产业链上下游提供安全、高效的支付解决方案，助力平台生态健康发展。</w:t>
      </w:r>
    </w:p>
    <w:p w14:paraId="68DBFA5B">
      <w:pPr>
        <w:pStyle w:val="10"/>
        <w:pBdr>
          <w:top w:val="single" w:color="000000" w:sz="6" w:space="0"/>
        </w:pBdr>
        <w:rPr>
          <w:rFonts w:hint="eastAsia"/>
        </w:rPr>
      </w:pPr>
    </w:p>
    <w:p w14:paraId="5A207483">
      <w:pPr>
        <w:pStyle w:val="10"/>
        <w:rPr>
          <w:rFonts w:hint="eastAsia"/>
        </w:rPr>
      </w:pPr>
    </w:p>
    <w:sectPr>
      <w:pgSz w:w="13380" w:h="16905"/>
      <w:pgMar w:top="720" w:right="1080" w:bottom="720" w:left="1080" w:header="850" w:footer="991"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BC449B"/>
    <w:multiLevelType w:val="multilevel"/>
    <w:tmpl w:val="08BC449B"/>
    <w:lvl w:ilvl="0" w:tentative="0">
      <w:start w:val="1"/>
      <w:numFmt w:val="decimal"/>
      <w:lvlText w:val="%1."/>
      <w:lvlJc w:val="left"/>
      <w:pPr>
        <w:ind w:left="420" w:hanging="42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
    <w:nsid w:val="0DFF12A4"/>
    <w:multiLevelType w:val="multilevel"/>
    <w:tmpl w:val="0DFF12A4"/>
    <w:lvl w:ilvl="0" w:tentative="0">
      <w:start w:val="1"/>
      <w:numFmt w:val="decimal"/>
      <w:lvlText w:val="%1."/>
      <w:lvlJc w:val="left"/>
      <w:pPr>
        <w:ind w:left="420" w:hanging="420"/>
      </w:pPr>
    </w:lvl>
    <w:lvl w:ilvl="1" w:tentative="0">
      <w:start w:val="1"/>
      <w:numFmt w:val="bullet"/>
      <w:lvlText w:val="○"/>
      <w:lvlJc w:val="left"/>
      <w:pPr>
        <w:ind w:left="840" w:hanging="420"/>
      </w:pPr>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
    <w:nsid w:val="1968645C"/>
    <w:multiLevelType w:val="multilevel"/>
    <w:tmpl w:val="1968645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
    <w:nsid w:val="497B4720"/>
    <w:multiLevelType w:val="multilevel"/>
    <w:tmpl w:val="497B4720"/>
    <w:lvl w:ilvl="0" w:tentative="0">
      <w:start w:val="1"/>
      <w:numFmt w:val="bullet"/>
      <w:lvlText w:val="●"/>
      <w:lvlJc w:val="left"/>
      <w:pPr>
        <w:ind w:left="420" w:hanging="420"/>
      </w:pPr>
    </w:lvl>
    <w:lvl w:ilvl="1" w:tentative="0">
      <w:start w:val="1"/>
      <w:numFmt w:val="bullet"/>
      <w:lvlText w:val="○"/>
      <w:lvlJc w:val="left"/>
      <w:pPr>
        <w:ind w:left="840" w:hanging="420"/>
      </w:pPr>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
    <w:nsid w:val="56695415"/>
    <w:multiLevelType w:val="multilevel"/>
    <w:tmpl w:val="56695415"/>
    <w:lvl w:ilvl="0" w:tentative="0">
      <w:start w:val="1"/>
      <w:numFmt w:val="bullet"/>
      <w:lvlText w:val="●"/>
      <w:lvlJc w:val="left"/>
      <w:pPr>
        <w:ind w:left="420" w:hanging="420"/>
      </w:pPr>
    </w:lvl>
    <w:lvl w:ilvl="1" w:tentative="0">
      <w:start w:val="1"/>
      <w:numFmt w:val="bullet"/>
      <w:lvlText w:val="○"/>
      <w:lvlJc w:val="left"/>
      <w:pPr>
        <w:ind w:left="840" w:hanging="420"/>
      </w:pPr>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
    <w:nsid w:val="60710DD1"/>
    <w:multiLevelType w:val="multilevel"/>
    <w:tmpl w:val="60710DD1"/>
    <w:lvl w:ilvl="0" w:tentative="0">
      <w:start w:val="1"/>
      <w:numFmt w:val="bullet"/>
      <w:lvlText w:val="●"/>
      <w:lvlJc w:val="left"/>
      <w:pPr>
        <w:ind w:left="420" w:hanging="420"/>
      </w:pPr>
    </w:lvl>
    <w:lvl w:ilvl="1" w:tentative="0">
      <w:start w:val="1"/>
      <w:numFmt w:val="bullet"/>
      <w:lvlText w:val="○"/>
      <w:lvlJc w:val="left"/>
      <w:pPr>
        <w:ind w:left="840" w:hanging="420"/>
      </w:pPr>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4"/>
  </w:num>
  <w:num w:numId="2">
    <w:abstractNumId w:val="3"/>
  </w:num>
  <w:num w:numId="3">
    <w:abstractNumId w:val="5"/>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displayBackgroundShape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089"/>
    <w:rsid w:val="00085E67"/>
    <w:rsid w:val="000F601F"/>
    <w:rsid w:val="00171D38"/>
    <w:rsid w:val="00180089"/>
    <w:rsid w:val="00203333"/>
    <w:rsid w:val="00296497"/>
    <w:rsid w:val="00415780"/>
    <w:rsid w:val="005D2FBD"/>
    <w:rsid w:val="006311B3"/>
    <w:rsid w:val="006759AC"/>
    <w:rsid w:val="00711A6E"/>
    <w:rsid w:val="00782C6B"/>
    <w:rsid w:val="0079107F"/>
    <w:rsid w:val="009A2650"/>
    <w:rsid w:val="009B6DCC"/>
    <w:rsid w:val="00A838A0"/>
    <w:rsid w:val="00AC1251"/>
    <w:rsid w:val="00BA268F"/>
    <w:rsid w:val="00C504FD"/>
    <w:rsid w:val="4FC429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lang w:val="en-US" w:eastAsia="zh-CN" w:bidi="ar-SA"/>
    </w:rPr>
  </w:style>
  <w:style w:type="paragraph" w:styleId="2">
    <w:name w:val="heading 1"/>
    <w:qFormat/>
    <w:uiPriority w:val="9"/>
    <w:pPr>
      <w:keepNext/>
      <w:keepLines/>
      <w:spacing w:before="348" w:after="210"/>
      <w:outlineLvl w:val="0"/>
    </w:pPr>
    <w:rPr>
      <w:rFonts w:asciiTheme="minorHAnsi" w:hAnsiTheme="minorHAnsi" w:eastAsiaTheme="minorEastAsia" w:cstheme="minorBidi"/>
      <w:b/>
      <w:kern w:val="2"/>
      <w:sz w:val="34"/>
      <w:lang w:val="en-US" w:eastAsia="zh-CN" w:bidi="ar-SA"/>
    </w:rPr>
  </w:style>
  <w:style w:type="paragraph" w:styleId="3">
    <w:name w:val="heading 2"/>
    <w:unhideWhenUsed/>
    <w:qFormat/>
    <w:uiPriority w:val="9"/>
    <w:pPr>
      <w:keepNext/>
      <w:keepLines/>
      <w:spacing w:before="348" w:after="190"/>
      <w:outlineLvl w:val="1"/>
    </w:pPr>
    <w:rPr>
      <w:rFonts w:asciiTheme="minorHAnsi" w:hAnsiTheme="minorHAnsi" w:eastAsiaTheme="minorEastAsia" w:cstheme="minorBidi"/>
      <w:b/>
      <w:kern w:val="2"/>
      <w:sz w:val="28"/>
      <w:lang w:val="en-US" w:eastAsia="zh-CN" w:bidi="ar-SA"/>
    </w:rPr>
  </w:style>
  <w:style w:type="paragraph" w:styleId="4">
    <w:name w:val="heading 3"/>
    <w:unhideWhenUsed/>
    <w:qFormat/>
    <w:uiPriority w:val="9"/>
    <w:pPr>
      <w:keepNext/>
      <w:keepLines/>
      <w:spacing w:before="348" w:after="170"/>
      <w:outlineLvl w:val="2"/>
    </w:pPr>
    <w:rPr>
      <w:rFonts w:asciiTheme="minorHAnsi" w:hAnsiTheme="minorHAnsi" w:eastAsiaTheme="minorEastAsia" w:cstheme="minorBidi"/>
      <w:b/>
      <w:kern w:val="2"/>
      <w:sz w:val="22"/>
      <w:lang w:val="en-US" w:eastAsia="zh-CN" w:bidi="ar-SA"/>
    </w:rPr>
  </w:style>
  <w:style w:type="paragraph" w:styleId="5">
    <w:name w:val="heading 4"/>
    <w:unhideWhenUsed/>
    <w:qFormat/>
    <w:uiPriority w:val="9"/>
    <w:pPr>
      <w:keepNext/>
      <w:keepLines/>
      <w:spacing w:before="348" w:after="150"/>
      <w:outlineLvl w:val="3"/>
    </w:pPr>
    <w:rPr>
      <w:rFonts w:asciiTheme="minorHAnsi" w:hAnsiTheme="minorHAnsi" w:eastAsiaTheme="minorEastAsia" w:cstheme="minorBidi"/>
      <w:b/>
      <w:kern w:val="2"/>
      <w:sz w:val="16"/>
      <w:lang w:val="en-US" w:eastAsia="zh-CN" w:bidi="ar-SA"/>
    </w:rPr>
  </w:style>
  <w:style w:type="character" w:default="1" w:styleId="9">
    <w:name w:val="Default Paragraph Font"/>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6">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8">
    <w:name w:val="Table Grid"/>
    <w:qFormat/>
    <w:uiPriority w:val="0"/>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
  </w:style>
  <w:style w:type="paragraph" w:customStyle="1" w:styleId="10">
    <w:name w:val="dingdocnormal"/>
    <w:qFormat/>
    <w:uiPriority w:val="0"/>
    <w:rPr>
      <w:rFonts w:asciiTheme="minorHAnsi" w:hAnsiTheme="minorHAnsi" w:eastAsiaTheme="minorEastAsia" w:cstheme="minorBidi"/>
      <w:kern w:val="2"/>
      <w:sz w:val="24"/>
      <w:lang w:val="en-US" w:eastAsia="zh-CN" w:bidi="ar-SA"/>
    </w:rPr>
  </w:style>
  <w:style w:type="paragraph" w:styleId="1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6</Pages>
  <Words>2220</Words>
  <Characters>2234</Characters>
  <Lines>17</Lines>
  <Paragraphs>4</Paragraphs>
  <TotalTime>69</TotalTime>
  <ScaleCrop>false</ScaleCrop>
  <LinksUpToDate>false</LinksUpToDate>
  <CharactersWithSpaces>2296</CharactersWithSpaces>
  <Application>WPS Office_12.1.0.20783_F1E327BC-269C-435d-A152-05C5408002CA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2025-05-15T11:14:00Z</dcterms:created>
  <dc:creator>DingTalk</dc:creator>
  <dc:description>DingTalk Document</dc:description>
  <cp:lastModifiedBy>澜</cp:lastModifiedBy>
  <dcterms:modified xsi:type="dcterms:W3CDTF">2025-05-16T07:36:22Z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2052-12.1.0.20783</vt:lpwstr>
  </property>
  <property fmtid="{D5CDD505-2E9C-101B-9397-08002B2CF9AE}" pid="3" name="ICV">
    <vt:lpwstr>CDA03274396F45B2B905B77602894090_13</vt:lpwstr>
  </property>
</Properties>
</file>