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1"/>
        <w:spacing w:before="0" w:after="0"/>
        <w:ind w:left="0" w:right="-234" w:hanging="0"/>
        <w:jc w:val="center"/>
        <w:rPr>
          <w:rFonts w:ascii="Tahoma" w:hAnsi="Tahoma" w:cs="Tahoma"/>
          <w:sz w:val="26"/>
          <w:szCs w:val="26"/>
          <w:u w:val="single"/>
        </w:rPr>
      </w:pPr>
      <w:r>
        <w:drawing>
          <wp:anchor behindDoc="1" distT="0" distB="0" distL="0" distR="0" simplePos="0" locked="0" layoutInCell="1" allowOverlap="1" relativeHeight="2">
            <wp:simplePos x="0" y="0"/>
            <wp:positionH relativeFrom="column">
              <wp:posOffset>-113665</wp:posOffset>
            </wp:positionH>
            <wp:positionV relativeFrom="paragraph">
              <wp:posOffset>-625475</wp:posOffset>
            </wp:positionV>
            <wp:extent cx="577215" cy="61785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77215" cy="617855"/>
                    </a:xfrm>
                    <a:prstGeom prst="rect">
                      <a:avLst/>
                    </a:prstGeom>
                  </pic:spPr>
                </pic:pic>
              </a:graphicData>
            </a:graphic>
          </wp:anchor>
        </w:drawing>
      </w:r>
      <w:r>
        <w:rPr>
          <w:rFonts w:cs="Tahoma" w:ascii="Tahoma" w:hAnsi="Tahoma"/>
          <w:sz w:val="26"/>
          <w:szCs w:val="26"/>
          <w:u w:val="single"/>
        </w:rPr>
        <w:t>C</w:t>
      </w:r>
      <w:r>
        <w:rPr>
          <w:rFonts w:cs="Tahoma" w:ascii="Tahoma" w:hAnsi="Tahoma"/>
          <w:sz w:val="26"/>
          <w:szCs w:val="26"/>
          <w:u w:val="single"/>
        </w:rPr>
        <w:t>ONTRATO DE SERVICIOS DE MEDICINA PREPAGADA</w:t>
      </w:r>
    </w:p>
    <w:p>
      <w:pPr>
        <w:pStyle w:val="Ttulo1"/>
        <w:spacing w:before="0" w:after="0"/>
        <w:ind w:left="0" w:right="-234" w:hanging="0"/>
        <w:jc w:val="center"/>
        <w:rPr>
          <w:rFonts w:ascii="Tahoma" w:hAnsi="Tahoma" w:cs="Tahoma"/>
          <w:sz w:val="26"/>
          <w:szCs w:val="26"/>
          <w:u w:val="single"/>
        </w:rPr>
      </w:pPr>
      <w:r>
        <w:rPr>
          <w:rFonts w:cs="Tahoma" w:ascii="Tahoma" w:hAnsi="Tahoma"/>
          <w:sz w:val="26"/>
          <w:szCs w:val="26"/>
          <w:u w:val="single"/>
        </w:rPr>
        <w:t xml:space="preserve">HOSPITALIZACIÓN, CIRUGÍA Y MATERNIDAD  </w:t>
      </w:r>
    </w:p>
    <w:p>
      <w:pPr>
        <w:pStyle w:val="Ttulo4"/>
        <w:spacing w:before="0" w:after="120"/>
        <w:ind w:right="-234" w:hanging="0"/>
        <w:jc w:val="center"/>
        <w:rPr>
          <w:rFonts w:ascii="Tahoma" w:hAnsi="Tahoma" w:cs="Tahoma"/>
          <w:sz w:val="26"/>
          <w:szCs w:val="26"/>
          <w:u w:val="single"/>
        </w:rPr>
      </w:pPr>
      <w:r>
        <w:rPr>
          <w:rFonts w:cs="Tahoma" w:ascii="Tahoma" w:hAnsi="Tahoma"/>
          <w:sz w:val="26"/>
          <w:szCs w:val="26"/>
          <w:u w:val="single"/>
        </w:rPr>
        <w:t>ANEXO DE COBERTURA DE MATERNIDAD</w:t>
      </w:r>
    </w:p>
    <w:p>
      <w:pPr>
        <w:pStyle w:val="Normal"/>
        <w:ind w:right="-234" w:hanging="0"/>
        <w:rPr>
          <w:rFonts w:ascii="Tahoma" w:hAnsi="Tahoma" w:cs="Tahoma"/>
          <w:sz w:val="26"/>
          <w:szCs w:val="26"/>
        </w:rPr>
      </w:pPr>
      <w:r>
        <w:rPr>
          <w:rFonts w:cs="Tahoma" w:ascii="Tahoma" w:hAnsi="Tahoma"/>
          <w:sz w:val="26"/>
          <w:szCs w:val="26"/>
        </w:rPr>
      </w:r>
    </w:p>
    <w:p>
      <w:pPr>
        <w:pStyle w:val="Ttulo2"/>
        <w:spacing w:before="0" w:after="120"/>
        <w:ind w:right="-234" w:hanging="0"/>
        <w:jc w:val="both"/>
        <w:rPr>
          <w:rFonts w:ascii="Tahoma" w:hAnsi="Tahoma" w:cs="Tahoma"/>
          <w:b/>
          <w:b/>
          <w:bCs/>
          <w:iCs/>
          <w:color w:val="auto"/>
        </w:rPr>
      </w:pPr>
      <w:r>
        <w:rPr>
          <w:rFonts w:cs="Tahoma" w:ascii="Tahoma" w:hAnsi="Tahoma"/>
          <w:iCs/>
          <w:color w:val="auto"/>
        </w:rPr>
        <w:t>Para ser adherido y formar parte integrante del Contrato de Servicios de Medicina Prepagada n.º ___________, contratado por:  ___________________.</w:t>
      </w:r>
    </w:p>
    <w:p>
      <w:pPr>
        <w:pStyle w:val="Normal"/>
        <w:ind w:right="-234" w:hanging="0"/>
        <w:jc w:val="both"/>
        <w:rPr>
          <w:rFonts w:ascii="Tahoma" w:hAnsi="Tahoma" w:cs="Tahoma"/>
          <w:sz w:val="26"/>
          <w:szCs w:val="26"/>
        </w:rPr>
      </w:pPr>
      <w:r>
        <w:rPr>
          <w:rFonts w:cs="Tahoma" w:ascii="Tahoma" w:hAnsi="Tahoma"/>
          <w:sz w:val="26"/>
          <w:szCs w:val="26"/>
        </w:rPr>
      </w:r>
    </w:p>
    <w:p>
      <w:pPr>
        <w:pStyle w:val="Normal"/>
        <w:spacing w:before="0" w:after="120"/>
        <w:ind w:right="-232" w:hanging="0"/>
        <w:jc w:val="both"/>
        <w:rPr>
          <w:rFonts w:ascii="Tahoma" w:hAnsi="Tahoma" w:cs="Tahoma"/>
          <w:b/>
          <w:b/>
          <w:sz w:val="26"/>
          <w:szCs w:val="26"/>
        </w:rPr>
      </w:pPr>
      <w:r>
        <w:rPr>
          <w:rFonts w:cs="Tahoma" w:ascii="Tahoma" w:hAnsi="Tahoma"/>
          <w:b/>
          <w:sz w:val="26"/>
          <w:szCs w:val="26"/>
        </w:rPr>
        <w:t>La Empresa de Medicina Prepagada ampara los servicios médicos asistenciales ocasionados por tratamiento médico o intervención quirúrgica, sujeto al costo razonable y que sean médicamente necesarios, conforme con los términos y condiciones que se señalan en este anexo. A su vez, el Contratante se obliga a pagar la cuota adicional correspondiente de acuerdo con lo establecido en las Condiciones Generales de este contrato.</w:t>
      </w:r>
    </w:p>
    <w:p>
      <w:pPr>
        <w:pStyle w:val="Normal"/>
        <w:ind w:right="-234" w:hanging="0"/>
        <w:rPr>
          <w:rFonts w:ascii="Tahoma" w:hAnsi="Tahoma" w:cs="Tahoma"/>
          <w:sz w:val="26"/>
          <w:szCs w:val="26"/>
        </w:rPr>
      </w:pPr>
      <w:r>
        <w:rPr>
          <w:rFonts w:cs="Tahoma" w:ascii="Tahoma" w:hAnsi="Tahoma"/>
          <w:sz w:val="26"/>
          <w:szCs w:val="26"/>
        </w:rPr>
      </w:r>
    </w:p>
    <w:p>
      <w:pPr>
        <w:pStyle w:val="BodyText2"/>
        <w:numPr>
          <w:ilvl w:val="0"/>
          <w:numId w:val="1"/>
        </w:numPr>
        <w:spacing w:lineRule="auto" w:line="240"/>
        <w:ind w:left="567" w:right="-234" w:hanging="567"/>
        <w:jc w:val="both"/>
        <w:rPr>
          <w:rFonts w:ascii="Tahoma" w:hAnsi="Tahoma" w:cs="Tahoma"/>
          <w:b/>
          <w:b/>
          <w:sz w:val="26"/>
          <w:szCs w:val="26"/>
        </w:rPr>
      </w:pPr>
      <w:r>
        <w:rPr>
          <w:rFonts w:cs="Tahoma" w:ascii="Tahoma" w:hAnsi="Tahoma"/>
          <w:b/>
          <w:sz w:val="26"/>
          <w:szCs w:val="26"/>
        </w:rPr>
        <w:t>SERVICIOS MÉDICOS ASISTENCIALES AMPARADOS.</w:t>
      </w:r>
    </w:p>
    <w:p>
      <w:pPr>
        <w:pStyle w:val="Normal"/>
        <w:spacing w:before="0" w:after="120"/>
        <w:ind w:right="-232" w:hanging="0"/>
        <w:jc w:val="both"/>
        <w:rPr>
          <w:rFonts w:ascii="Tahoma" w:hAnsi="Tahoma" w:cs="Tahoma"/>
          <w:b/>
          <w:b/>
          <w:sz w:val="26"/>
          <w:szCs w:val="26"/>
        </w:rPr>
      </w:pPr>
      <w:r>
        <w:rPr>
          <w:rFonts w:cs="Tahoma" w:ascii="Tahoma" w:hAnsi="Tahoma"/>
          <w:b/>
          <w:sz w:val="26"/>
          <w:szCs w:val="26"/>
        </w:rPr>
        <w:t>La Empresa de Medicina Prepagada se compromete, durante la vigencia del anexo, a gestionar a través de la RED CLINISALUD, la prestación de los servicios médicos asistencias, en exceso del deducible, si lo hubiere, y hasta la suma asegurada contratada para esta cobertura, concernientes a: parto normal, parto con fórceps, parto prematuro, cesárea, aborto espontaneo, aborto terapéutico y legrado uterino por aborto. La cobertura se extiende a los gastos por equipos e instrumentos especiales requeridos para el parto, cesárea, aborto espontaneo, aborto terapéutico o legrado uterino por aborto y a los originados por el niño sano al nacer, como son: retén, honorarios del pediatra e incubadora. Asimismo, están cubiertos los gastos por consultas pre y post natal, hasta un máximo de nueve (9) consultas, incluyendo los exámenes de laboratorios que pudieran requerirse en las referidas consultas, un (1) eco tridimensional, un (1) examen de amniocentesis, un máximo de cuatro (4) ecosonogramas y una (1) pelvimetría. En caso de nacimientos múltiples, la suma asegurada contratada para esta cobertura se incrementará en un cincuenta por ciento (50%).</w:t>
      </w:r>
    </w:p>
    <w:p>
      <w:pPr>
        <w:pStyle w:val="Normal"/>
        <w:spacing w:before="0" w:after="120"/>
        <w:ind w:right="-232" w:hanging="0"/>
        <w:jc w:val="both"/>
        <w:rPr>
          <w:rFonts w:ascii="Tahoma" w:hAnsi="Tahoma" w:cs="Tahoma"/>
          <w:b/>
          <w:b/>
          <w:sz w:val="26"/>
          <w:szCs w:val="26"/>
        </w:rPr>
      </w:pPr>
      <w:r>
        <w:rPr>
          <w:rFonts w:cs="Tahoma" w:ascii="Tahoma" w:hAnsi="Tahoma"/>
          <w:b/>
          <w:sz w:val="26"/>
          <w:szCs w:val="26"/>
        </w:rPr>
        <w:t>Están amparados, en los términos y condiciones establecidos para la cobertura básica de este contrato, los servicios médicos asistenciales por concepto de las complicaciones del embarazo, del parto normal, del parto con fórceps, del parto prematuro, de la cesárea, del aborto espontáneo, del aborto terapéutico y del legrado uterino por aborto, en exceso del deducible, si lo hubiere, y hasta la suma asegurada de la referida cobertura básica.</w:t>
      </w:r>
    </w:p>
    <w:p>
      <w:pPr>
        <w:pStyle w:val="Normal"/>
        <w:ind w:left="426" w:right="-234" w:hanging="426"/>
        <w:jc w:val="both"/>
        <w:rPr>
          <w:rFonts w:ascii="Tahoma" w:hAnsi="Tahoma" w:cs="Tahoma"/>
          <w:sz w:val="26"/>
          <w:szCs w:val="26"/>
        </w:rPr>
      </w:pPr>
      <w:r>
        <w:rPr>
          <w:rFonts w:cs="Tahoma" w:ascii="Tahoma" w:hAnsi="Tahoma"/>
          <w:sz w:val="26"/>
          <w:szCs w:val="26"/>
        </w:rPr>
      </w:r>
    </w:p>
    <w:p>
      <w:pPr>
        <w:pStyle w:val="BodyText2"/>
        <w:numPr>
          <w:ilvl w:val="0"/>
          <w:numId w:val="1"/>
        </w:numPr>
        <w:spacing w:lineRule="auto" w:line="240"/>
        <w:ind w:left="567" w:right="-234" w:hanging="567"/>
        <w:jc w:val="both"/>
        <w:rPr>
          <w:rFonts w:ascii="Tahoma" w:hAnsi="Tahoma" w:cs="Tahoma"/>
          <w:b/>
          <w:b/>
          <w:sz w:val="26"/>
          <w:szCs w:val="26"/>
        </w:rPr>
      </w:pPr>
      <w:r>
        <w:rPr>
          <w:rFonts w:cs="Tahoma" w:ascii="Tahoma" w:hAnsi="Tahoma"/>
          <w:b/>
          <w:sz w:val="26"/>
          <w:szCs w:val="26"/>
        </w:rPr>
        <w:t>PERSONAS AFILIABLES</w:t>
      </w:r>
    </w:p>
    <w:p>
      <w:pPr>
        <w:pStyle w:val="Normal"/>
        <w:spacing w:before="0" w:after="120"/>
        <w:ind w:right="-232" w:hanging="0"/>
        <w:jc w:val="both"/>
        <w:rPr>
          <w:rFonts w:ascii="Tahoma" w:hAnsi="Tahoma" w:cs="Tahoma"/>
          <w:sz w:val="26"/>
          <w:szCs w:val="26"/>
        </w:rPr>
      </w:pPr>
      <w:r>
        <w:rPr>
          <w:rFonts w:cs="Tahoma" w:ascii="Tahoma" w:hAnsi="Tahoma"/>
          <w:sz w:val="26"/>
          <w:szCs w:val="26"/>
        </w:rPr>
        <w:t>Puede incluirse en esta cobertura toda persona del sexo femenino, amparada por la cobertura básica de este contrato, cuya edad no exceda de cincuenta (50) años, y deberá estar identificada en el Cuadro Recibo de Servicios.</w:t>
      </w:r>
    </w:p>
    <w:p>
      <w:pPr>
        <w:pStyle w:val="Normal"/>
        <w:spacing w:before="0" w:after="120"/>
        <w:ind w:right="-232" w:hanging="0"/>
        <w:jc w:val="both"/>
        <w:rPr>
          <w:rFonts w:ascii="Tahoma" w:hAnsi="Tahoma" w:cs="Tahoma"/>
          <w:sz w:val="26"/>
          <w:szCs w:val="26"/>
        </w:rPr>
      </w:pPr>
      <w:r>
        <w:rPr>
          <w:rFonts w:cs="Tahoma" w:ascii="Tahoma" w:hAnsi="Tahoma"/>
          <w:sz w:val="26"/>
          <w:szCs w:val="26"/>
        </w:rPr>
      </w:r>
    </w:p>
    <w:p>
      <w:pPr>
        <w:pStyle w:val="BodyText2"/>
        <w:numPr>
          <w:ilvl w:val="0"/>
          <w:numId w:val="1"/>
        </w:numPr>
        <w:spacing w:lineRule="auto" w:line="240"/>
        <w:ind w:left="567" w:right="-234" w:hanging="567"/>
        <w:jc w:val="both"/>
        <w:rPr>
          <w:rFonts w:ascii="Tahoma" w:hAnsi="Tahoma" w:cs="Tahoma"/>
          <w:b/>
          <w:b/>
          <w:sz w:val="26"/>
          <w:szCs w:val="26"/>
          <w:lang w:eastAsia="en-US"/>
        </w:rPr>
      </w:pPr>
      <w:r>
        <w:rPr>
          <w:rFonts w:cs="Tahoma" w:ascii="Tahoma" w:hAnsi="Tahoma"/>
          <w:b/>
          <w:sz w:val="26"/>
          <w:szCs w:val="26"/>
        </w:rPr>
        <w:t>PLAZOS DE ESPERA</w:t>
      </w:r>
      <w:r>
        <w:rPr>
          <w:rFonts w:cs="Tahoma" w:ascii="Tahoma" w:hAnsi="Tahoma"/>
          <w:b/>
          <w:sz w:val="26"/>
          <w:szCs w:val="26"/>
          <w:lang w:eastAsia="en-US"/>
        </w:rPr>
        <w:t>.</w:t>
      </w:r>
    </w:p>
    <w:p>
      <w:pPr>
        <w:pStyle w:val="Normal"/>
        <w:spacing w:before="0" w:after="120"/>
        <w:ind w:right="-232" w:hanging="0"/>
        <w:jc w:val="both"/>
        <w:rPr>
          <w:rFonts w:ascii="Tahoma" w:hAnsi="Tahoma" w:cs="Tahoma"/>
          <w:b/>
          <w:b/>
          <w:sz w:val="26"/>
          <w:szCs w:val="26"/>
        </w:rPr>
      </w:pPr>
      <w:r>
        <w:rPr>
          <w:rFonts w:cs="Tahoma" w:ascii="Tahoma" w:hAnsi="Tahoma"/>
          <w:b/>
          <w:sz w:val="26"/>
          <w:szCs w:val="26"/>
        </w:rPr>
        <w:t>Las Afiliadas bajo esta cobertura tienen derecho a gozar de los servicios médicos asistencias establecidos en este anexo, siempre que el estado de gravidez comience durante la vigencia del mismo y una vez transcurridos los plazos de espera que se especifican a continuación, los cuales serán contados a partir de la fecha de comienzo del Anexo o la inclusión de la Afiliada en el mismo, según sea el caso:</w:t>
      </w:r>
    </w:p>
    <w:p>
      <w:pPr>
        <w:pStyle w:val="Normal"/>
        <w:spacing w:before="0" w:after="120"/>
        <w:ind w:left="426" w:right="-234" w:hanging="426"/>
        <w:jc w:val="both"/>
        <w:rPr>
          <w:rFonts w:ascii="Tahoma" w:hAnsi="Tahoma" w:cs="Tahoma"/>
          <w:b/>
          <w:b/>
          <w:sz w:val="26"/>
          <w:szCs w:val="26"/>
          <w:lang w:eastAsia="en-US"/>
        </w:rPr>
      </w:pPr>
      <w:r>
        <w:rPr>
          <w:rFonts w:cs="Tahoma" w:ascii="Tahoma" w:hAnsi="Tahoma"/>
          <w:b/>
          <w:sz w:val="26"/>
          <w:szCs w:val="26"/>
          <w:lang w:eastAsia="en-US"/>
        </w:rPr>
        <w:t>1.</w:t>
        <w:tab/>
        <w:t>Diez (10) meses para parto normal, parto con fórceps o cesárea y sus complicaciones.</w:t>
      </w:r>
    </w:p>
    <w:p>
      <w:pPr>
        <w:pStyle w:val="Normal"/>
        <w:spacing w:before="0" w:after="120"/>
        <w:ind w:left="426" w:right="-234" w:hanging="426"/>
        <w:jc w:val="both"/>
        <w:rPr>
          <w:rFonts w:ascii="Tahoma" w:hAnsi="Tahoma" w:cs="Tahoma"/>
          <w:b/>
          <w:b/>
          <w:sz w:val="26"/>
          <w:szCs w:val="26"/>
          <w:lang w:eastAsia="en-US"/>
        </w:rPr>
      </w:pPr>
      <w:r>
        <w:rPr>
          <w:rFonts w:cs="Tahoma" w:ascii="Tahoma" w:hAnsi="Tahoma"/>
          <w:b/>
          <w:sz w:val="26"/>
          <w:szCs w:val="26"/>
          <w:lang w:eastAsia="en-US"/>
        </w:rPr>
        <w:t>2.</w:t>
        <w:tab/>
        <w:t>Siete (7) meses para parto prematuro y sus complicaciones.</w:t>
      </w:r>
    </w:p>
    <w:p>
      <w:pPr>
        <w:pStyle w:val="Normal"/>
        <w:spacing w:before="0" w:after="120"/>
        <w:ind w:left="426" w:right="-234" w:hanging="426"/>
        <w:jc w:val="both"/>
        <w:rPr>
          <w:rFonts w:ascii="Tahoma" w:hAnsi="Tahoma" w:cs="Tahoma"/>
          <w:b/>
          <w:b/>
          <w:sz w:val="26"/>
          <w:szCs w:val="26"/>
          <w:lang w:eastAsia="en-US"/>
        </w:rPr>
      </w:pPr>
      <w:r>
        <w:rPr>
          <w:rFonts w:cs="Tahoma" w:ascii="Tahoma" w:hAnsi="Tahoma"/>
          <w:b/>
          <w:sz w:val="26"/>
          <w:szCs w:val="26"/>
          <w:lang w:eastAsia="en-US"/>
        </w:rPr>
        <w:t>3.</w:t>
        <w:tab/>
        <w:t>Cuatro (4) meses para las complicaciones del embarazo, así como para el aborto espontaneo, aborto terapéutico o legrado uterino por aborto y sus complicaciones.</w:t>
      </w:r>
    </w:p>
    <w:p>
      <w:pPr>
        <w:pStyle w:val="Normal"/>
        <w:spacing w:before="0" w:after="120"/>
        <w:ind w:left="426" w:right="-234" w:hanging="426"/>
        <w:jc w:val="both"/>
        <w:rPr>
          <w:rFonts w:ascii="Tahoma" w:hAnsi="Tahoma" w:cs="Tahoma"/>
          <w:b/>
          <w:b/>
          <w:sz w:val="26"/>
          <w:szCs w:val="26"/>
          <w:lang w:eastAsia="en-US"/>
        </w:rPr>
      </w:pPr>
      <w:r>
        <w:rPr>
          <w:rFonts w:cs="Tahoma" w:ascii="Tahoma" w:hAnsi="Tahoma"/>
          <w:b/>
          <w:sz w:val="26"/>
          <w:szCs w:val="26"/>
          <w:lang w:eastAsia="en-US"/>
        </w:rPr>
      </w:r>
    </w:p>
    <w:p>
      <w:pPr>
        <w:pStyle w:val="BodyText2"/>
        <w:numPr>
          <w:ilvl w:val="0"/>
          <w:numId w:val="1"/>
        </w:numPr>
        <w:spacing w:lineRule="auto" w:line="240"/>
        <w:ind w:left="567" w:right="-234" w:hanging="567"/>
        <w:jc w:val="both"/>
        <w:rPr>
          <w:rStyle w:val="FontStyle20"/>
          <w:bCs/>
          <w:sz w:val="26"/>
          <w:szCs w:val="26"/>
          <w:lang w:val="es-ES_tradnl" w:eastAsia="es-ES_tradnl"/>
        </w:rPr>
      </w:pPr>
      <w:r>
        <w:rPr>
          <w:rStyle w:val="FontStyle20"/>
          <w:bCs/>
          <w:sz w:val="26"/>
          <w:szCs w:val="26"/>
          <w:lang w:val="es-ES_tradnl" w:eastAsia="es-ES_tradnl"/>
        </w:rPr>
        <w:t>EXCLUSIONES.</w:t>
      </w:r>
    </w:p>
    <w:p>
      <w:pPr>
        <w:pStyle w:val="Style31"/>
        <w:spacing w:before="0" w:after="120"/>
        <w:ind w:right="-234" w:hanging="0"/>
        <w:rPr>
          <w:rStyle w:val="FontStyle19"/>
          <w:b/>
          <w:b/>
          <w:sz w:val="26"/>
          <w:szCs w:val="26"/>
          <w:lang w:val="es-ES_tradnl" w:eastAsia="es-ES_tradnl"/>
        </w:rPr>
      </w:pPr>
      <w:r>
        <w:rPr>
          <w:rStyle w:val="FontStyle19"/>
          <w:b/>
          <w:sz w:val="26"/>
          <w:szCs w:val="26"/>
          <w:lang w:val="es-ES_tradnl" w:eastAsia="es-ES_tradnl"/>
        </w:rPr>
        <w:t>No se prestaran servicios o efectuarán indemnizaciones bajo esta cobertura por concepto de:</w:t>
      </w:r>
    </w:p>
    <w:p>
      <w:pPr>
        <w:pStyle w:val="Style31"/>
        <w:numPr>
          <w:ilvl w:val="0"/>
          <w:numId w:val="2"/>
        </w:numPr>
        <w:spacing w:before="0" w:after="120"/>
        <w:ind w:left="705" w:right="-234" w:hanging="705"/>
        <w:rPr>
          <w:rStyle w:val="FontStyle19"/>
          <w:b/>
          <w:b/>
          <w:sz w:val="26"/>
          <w:szCs w:val="26"/>
          <w:lang w:val="es-ES_tradnl" w:eastAsia="es-ES_tradnl"/>
        </w:rPr>
      </w:pPr>
      <w:r>
        <w:rPr>
          <w:rStyle w:val="FontStyle19"/>
          <w:b/>
          <w:sz w:val="26"/>
          <w:szCs w:val="26"/>
          <w:lang w:val="es-ES_tradnl" w:eastAsia="es-ES_tradnl"/>
        </w:rPr>
        <w:t>Abortos provocados sin fines terapéuticos.</w:t>
      </w:r>
    </w:p>
    <w:p>
      <w:pPr>
        <w:pStyle w:val="Style31"/>
        <w:numPr>
          <w:ilvl w:val="0"/>
          <w:numId w:val="2"/>
        </w:numPr>
        <w:spacing w:before="0" w:after="120"/>
        <w:ind w:left="705" w:right="-234" w:hanging="705"/>
        <w:rPr>
          <w:rStyle w:val="FontStyle19"/>
          <w:b/>
          <w:b/>
          <w:sz w:val="26"/>
          <w:szCs w:val="26"/>
          <w:lang w:val="es-ES_tradnl" w:eastAsia="es-ES_tradnl"/>
        </w:rPr>
      </w:pPr>
      <w:r>
        <w:rPr>
          <w:rStyle w:val="FontStyle19"/>
          <w:b/>
          <w:sz w:val="26"/>
          <w:szCs w:val="26"/>
          <w:lang w:val="es-ES_tradnl" w:eastAsia="es-ES_tradnl"/>
        </w:rPr>
        <w:t>Gastos médicos o de investigación de cualquier índole, relacionados con la clonación de células humanas o madres.</w:t>
      </w:r>
    </w:p>
    <w:p>
      <w:pPr>
        <w:pStyle w:val="Style31"/>
        <w:numPr>
          <w:ilvl w:val="0"/>
          <w:numId w:val="2"/>
        </w:numPr>
        <w:spacing w:before="0" w:after="120"/>
        <w:ind w:left="705" w:right="-234" w:hanging="705"/>
        <w:rPr>
          <w:rStyle w:val="FontStyle19"/>
          <w:b/>
          <w:b/>
          <w:sz w:val="26"/>
          <w:szCs w:val="26"/>
          <w:lang w:val="es-ES_tradnl" w:eastAsia="es-ES_tradnl"/>
        </w:rPr>
      </w:pPr>
      <w:r>
        <w:rPr>
          <w:rStyle w:val="FontStyle19"/>
          <w:b/>
          <w:sz w:val="26"/>
          <w:szCs w:val="26"/>
          <w:lang w:val="es-ES_tradnl" w:eastAsia="es-ES_tradnl"/>
        </w:rPr>
        <w:tab/>
        <w:t>Estudios genéticos de verificación de paternidad.</w:t>
      </w:r>
    </w:p>
    <w:p>
      <w:pPr>
        <w:pStyle w:val="Style31"/>
        <w:numPr>
          <w:ilvl w:val="0"/>
          <w:numId w:val="2"/>
        </w:numPr>
        <w:spacing w:before="0" w:after="120"/>
        <w:ind w:left="705" w:right="-234" w:hanging="705"/>
        <w:rPr>
          <w:rStyle w:val="FontStyle19"/>
          <w:b/>
          <w:b/>
          <w:sz w:val="26"/>
          <w:szCs w:val="26"/>
          <w:lang w:val="es-ES_tradnl" w:eastAsia="es-ES_tradnl"/>
        </w:rPr>
      </w:pPr>
      <w:r>
        <w:rPr>
          <w:rStyle w:val="FontStyle19"/>
          <w:b/>
          <w:sz w:val="26"/>
          <w:szCs w:val="26"/>
          <w:lang w:val="es-ES_tradnl" w:eastAsia="es-ES_tradnl"/>
        </w:rPr>
        <w:tab/>
        <w:t xml:space="preserve">Gestación desarrollada en otro útero diferente al de la Afiliada.   </w:t>
      </w:r>
    </w:p>
    <w:p>
      <w:pPr>
        <w:pStyle w:val="Style31"/>
        <w:numPr>
          <w:ilvl w:val="0"/>
          <w:numId w:val="2"/>
        </w:numPr>
        <w:spacing w:before="0" w:after="120"/>
        <w:ind w:left="705" w:right="-234" w:hanging="705"/>
        <w:rPr>
          <w:rStyle w:val="FontStyle19"/>
          <w:b/>
          <w:b/>
          <w:sz w:val="26"/>
          <w:szCs w:val="26"/>
          <w:lang w:val="es-ES_tradnl" w:eastAsia="es-ES_tradnl"/>
        </w:rPr>
      </w:pPr>
      <w:r>
        <w:rPr>
          <w:rStyle w:val="FontStyle19"/>
          <w:b/>
          <w:sz w:val="26"/>
          <w:szCs w:val="26"/>
          <w:lang w:val="es-ES_tradnl" w:eastAsia="es-ES_tradnl"/>
        </w:rPr>
        <w:tab/>
        <w:t>Estudios de fertilidad humana o de reproducción asistida.</w:t>
      </w:r>
    </w:p>
    <w:p>
      <w:pPr>
        <w:pStyle w:val="Style31"/>
        <w:widowControl/>
        <w:spacing w:lineRule="auto" w:line="240" w:before="0" w:after="120"/>
        <w:ind w:right="-234" w:hanging="0"/>
        <w:rPr>
          <w:rStyle w:val="FontStyle20"/>
          <w:rFonts w:eastAsia="SimSun"/>
          <w:b w:val="false"/>
          <w:b w:val="false"/>
          <w:color w:val="FF0000"/>
          <w:sz w:val="26"/>
          <w:szCs w:val="26"/>
          <w:lang w:val="es-ES" w:eastAsia="es-ES_tradnl"/>
        </w:rPr>
      </w:pPr>
      <w:r>
        <w:rPr>
          <w:rFonts w:eastAsia="SimSun"/>
          <w:b w:val="false"/>
          <w:color w:val="FF0000"/>
          <w:sz w:val="26"/>
          <w:szCs w:val="26"/>
          <w:lang w:val="es-ES" w:eastAsia="es-ES_tradnl"/>
        </w:rPr>
      </w:r>
    </w:p>
    <w:p>
      <w:pPr>
        <w:pStyle w:val="BodyText2"/>
        <w:numPr>
          <w:ilvl w:val="0"/>
          <w:numId w:val="1"/>
        </w:numPr>
        <w:spacing w:lineRule="auto" w:line="240"/>
        <w:ind w:left="567" w:right="-234" w:hanging="567"/>
        <w:jc w:val="both"/>
        <w:rPr>
          <w:rFonts w:ascii="Tahoma" w:hAnsi="Tahoma" w:cs="Tahoma"/>
          <w:b/>
          <w:b/>
          <w:bCs/>
          <w:sz w:val="26"/>
          <w:szCs w:val="26"/>
          <w:lang w:val="es-ES_tradnl" w:eastAsia="es-ES_tradnl"/>
        </w:rPr>
      </w:pPr>
      <w:r>
        <w:rPr>
          <w:rFonts w:cs="Tahoma" w:ascii="Tahoma" w:hAnsi="Tahoma"/>
          <w:b/>
          <w:bCs/>
          <w:sz w:val="26"/>
          <w:szCs w:val="26"/>
          <w:lang w:val="es-ES_tradnl" w:eastAsia="es-ES_tradnl"/>
        </w:rPr>
        <w:t>CONDICIONES APLICABLES.</w:t>
      </w:r>
    </w:p>
    <w:p>
      <w:pPr>
        <w:pStyle w:val="Style31"/>
        <w:widowControl/>
        <w:spacing w:lineRule="auto" w:line="240" w:before="0" w:after="120"/>
        <w:ind w:right="-234" w:hanging="0"/>
        <w:rPr>
          <w:rStyle w:val="FontStyle19"/>
          <w:sz w:val="26"/>
          <w:szCs w:val="26"/>
          <w:lang w:val="es-ES_tradnl" w:eastAsia="es-ES_tradnl"/>
        </w:rPr>
      </w:pPr>
      <w:r>
        <w:rPr>
          <w:rStyle w:val="FontStyle19"/>
          <w:sz w:val="26"/>
          <w:szCs w:val="26"/>
          <w:lang w:val="es-ES_tradnl" w:eastAsia="es-ES_tradnl"/>
        </w:rPr>
        <w:t xml:space="preserve">El presente anexo, salvo lo dispuesto especialmente en su propio texto, se rige en todos sus efectos por las Condiciones Generales y Condiciones Particulares del </w:t>
      </w:r>
      <w:r>
        <w:rPr>
          <w:bCs/>
          <w:iCs/>
          <w:sz w:val="26"/>
          <w:szCs w:val="26"/>
        </w:rPr>
        <w:t>Contrato de Servicios de Medicina Prepagada</w:t>
      </w:r>
      <w:r>
        <w:rPr>
          <w:sz w:val="26"/>
          <w:szCs w:val="26"/>
        </w:rPr>
        <w:t xml:space="preserve"> </w:t>
      </w:r>
      <w:r>
        <w:rPr>
          <w:rStyle w:val="FontStyle19"/>
          <w:sz w:val="26"/>
          <w:szCs w:val="26"/>
          <w:lang w:val="es-ES_tradnl" w:eastAsia="es-ES_tradnl"/>
        </w:rPr>
        <w:t>a la cual se adhiere y si surgieren contradicciones entre los textos prevalecerán las condiciones de este anexo. En caso de duplicidad de cobertura, los gastos amparados por la cobertura básica no serán objeto de cobertura por este anexo.</w:t>
      </w:r>
    </w:p>
    <w:p>
      <w:pPr>
        <w:pStyle w:val="Normal"/>
        <w:spacing w:before="0" w:after="120"/>
        <w:ind w:right="-234" w:hanging="0"/>
        <w:jc w:val="center"/>
        <w:rPr>
          <w:rFonts w:ascii="Tahoma" w:hAnsi="Tahoma" w:cs="Tahoma"/>
          <w:sz w:val="26"/>
          <w:szCs w:val="26"/>
        </w:rPr>
      </w:pPr>
      <w:r>
        <w:rPr>
          <w:rFonts w:cs="Tahoma" w:ascii="Tahoma" w:hAnsi="Tahoma"/>
          <w:sz w:val="26"/>
          <w:szCs w:val="26"/>
        </w:rPr>
      </w:r>
    </w:p>
    <w:p>
      <w:pPr>
        <w:pStyle w:val="Normal"/>
        <w:spacing w:before="0" w:after="120"/>
        <w:ind w:right="-234" w:hanging="0"/>
        <w:jc w:val="center"/>
        <w:rPr>
          <w:rFonts w:ascii="Tahoma" w:hAnsi="Tahoma" w:cs="Tahoma"/>
          <w:sz w:val="26"/>
          <w:szCs w:val="26"/>
        </w:rPr>
      </w:pPr>
      <w:r>
        <w:rPr>
          <w:rFonts w:cs="Tahoma" w:ascii="Tahoma" w:hAnsi="Tahoma"/>
          <w:sz w:val="26"/>
          <w:szCs w:val="26"/>
        </w:rPr>
      </w:r>
    </w:p>
    <w:p>
      <w:pPr>
        <w:pStyle w:val="Normal"/>
        <w:tabs>
          <w:tab w:val="clear" w:pos="708"/>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s>
        <w:spacing w:before="0" w:after="120"/>
        <w:ind w:right="-234" w:hanging="0"/>
        <w:jc w:val="both"/>
        <w:rPr>
          <w:rFonts w:ascii="Tahoma" w:hAnsi="Tahoma" w:cs="Tahoma"/>
          <w:sz w:val="26"/>
          <w:szCs w:val="26"/>
        </w:rPr>
      </w:pPr>
      <w:r>
        <w:rPr>
          <w:rFonts w:cs="Tahoma" w:ascii="Tahoma" w:hAnsi="Tahoma"/>
          <w:sz w:val="26"/>
          <w:szCs w:val="26"/>
        </w:rPr>
        <w:t>Lugar y fecha de emisión ______________________</w:t>
      </w:r>
    </w:p>
    <w:p>
      <w:pPr>
        <w:pStyle w:val="Normal"/>
        <w:spacing w:before="0" w:after="120"/>
        <w:ind w:right="-234" w:hanging="0"/>
        <w:jc w:val="center"/>
        <w:rPr>
          <w:rFonts w:ascii="Tahoma" w:hAnsi="Tahoma" w:cs="Tahoma"/>
          <w:sz w:val="26"/>
          <w:szCs w:val="26"/>
        </w:rPr>
      </w:pPr>
      <w:r>
        <w:rPr>
          <w:rFonts w:cs="Tahoma" w:ascii="Tahoma" w:hAnsi="Tahoma"/>
          <w:sz w:val="26"/>
          <w:szCs w:val="26"/>
        </w:rPr>
      </w:r>
    </w:p>
    <w:p>
      <w:pPr>
        <w:pStyle w:val="Normal"/>
        <w:spacing w:before="0" w:after="120"/>
        <w:ind w:right="-234" w:hanging="0"/>
        <w:jc w:val="center"/>
        <w:rPr>
          <w:rFonts w:ascii="Tahoma" w:hAnsi="Tahoma" w:cs="Tahoma"/>
          <w:sz w:val="26"/>
          <w:szCs w:val="26"/>
          <w:lang w:val="es-ES_tradnl"/>
        </w:rPr>
      </w:pPr>
      <w:r>
        <w:rPr>
          <w:rFonts w:cs="Tahoma" w:ascii="Tahoma" w:hAnsi="Tahoma"/>
          <w:sz w:val="26"/>
          <w:szCs w:val="26"/>
          <w:lang w:val="es-ES_tradnl"/>
        </w:rPr>
      </w:r>
    </w:p>
    <w:p>
      <w:pPr>
        <w:pStyle w:val="Normal"/>
        <w:spacing w:before="0" w:after="120"/>
        <w:ind w:right="-234" w:hanging="0"/>
        <w:jc w:val="center"/>
        <w:rPr>
          <w:rFonts w:ascii="Tahoma" w:hAnsi="Tahoma" w:cs="Tahoma"/>
          <w:sz w:val="26"/>
          <w:szCs w:val="26"/>
          <w:lang w:val="es-ES_tradnl"/>
        </w:rPr>
      </w:pPr>
      <w:r>
        <w:rPr>
          <w:rFonts w:cs="Tahoma" w:ascii="Tahoma" w:hAnsi="Tahoma"/>
          <w:sz w:val="26"/>
          <w:szCs w:val="26"/>
          <w:lang w:val="es-ES_tradnl"/>
        </w:rPr>
      </w:r>
    </w:p>
    <w:p>
      <w:pPr>
        <w:pStyle w:val="Normal"/>
        <w:spacing w:before="0" w:after="120"/>
        <w:ind w:right="-234" w:hanging="0"/>
        <w:jc w:val="center"/>
        <w:rPr>
          <w:rFonts w:ascii="Tahoma" w:hAnsi="Tahoma" w:cs="Tahoma"/>
          <w:sz w:val="26"/>
          <w:szCs w:val="26"/>
        </w:rPr>
      </w:pPr>
      <w:bookmarkStart w:id="0" w:name="_Hlk34033843"/>
      <w:r>
        <w:rPr>
          <w:rFonts w:cs="Tahoma" w:ascii="Tahoma" w:hAnsi="Tahoma"/>
          <w:sz w:val="26"/>
          <w:szCs w:val="26"/>
        </w:rPr>
        <w:t>_______________________</w:t>
        <w:tab/>
        <w:t xml:space="preserve">          _______________________</w:t>
      </w:r>
    </w:p>
    <w:p>
      <w:pPr>
        <w:pStyle w:val="Normal"/>
        <w:spacing w:before="0" w:after="120"/>
        <w:ind w:right="-234" w:hanging="0"/>
        <w:jc w:val="center"/>
        <w:rPr>
          <w:rFonts w:ascii="Tahoma" w:hAnsi="Tahoma" w:cs="Tahoma"/>
          <w:b/>
          <w:b/>
          <w:sz w:val="26"/>
          <w:szCs w:val="26"/>
        </w:rPr>
      </w:pPr>
      <w:r>
        <w:rPr>
          <w:rFonts w:cs="Tahoma" w:ascii="Tahoma" w:hAnsi="Tahoma"/>
          <w:b/>
          <w:sz w:val="26"/>
          <w:szCs w:val="26"/>
        </w:rPr>
        <w:t xml:space="preserve"> </w:t>
      </w:r>
      <w:r>
        <w:rPr>
          <w:rFonts w:cs="Tahoma" w:ascii="Tahoma" w:hAnsi="Tahoma"/>
          <w:b/>
          <w:sz w:val="26"/>
          <w:szCs w:val="26"/>
        </w:rPr>
        <w:t>EL CONTRATANTE</w:t>
        <w:tab/>
        <w:t xml:space="preserve">                     POR LA EMPRESA</w:t>
      </w:r>
    </w:p>
    <w:p>
      <w:pPr>
        <w:pStyle w:val="Normal"/>
        <w:spacing w:before="0" w:after="120"/>
        <w:ind w:right="-234" w:hanging="0"/>
        <w:jc w:val="center"/>
        <w:rPr>
          <w:rFonts w:ascii="Tahoma" w:hAnsi="Tahoma" w:cs="Tahoma"/>
          <w:b/>
          <w:b/>
          <w:sz w:val="26"/>
          <w:szCs w:val="26"/>
        </w:rPr>
      </w:pPr>
      <w:r>
        <w:rPr>
          <w:rFonts w:cs="Tahoma" w:ascii="Tahoma" w:hAnsi="Tahoma"/>
          <w:b/>
          <w:sz w:val="26"/>
          <w:szCs w:val="26"/>
        </w:rPr>
        <w:t xml:space="preserve">                                                         </w:t>
      </w:r>
      <w:r>
        <w:rPr>
          <w:rFonts w:cs="Tahoma" w:ascii="Tahoma" w:hAnsi="Tahoma"/>
          <w:b/>
          <w:sz w:val="26"/>
          <w:szCs w:val="26"/>
        </w:rPr>
        <w:t>DE MEDICINA PREPAGA</w:t>
      </w:r>
      <w:bookmarkEnd w:id="0"/>
    </w:p>
    <w:p>
      <w:pPr>
        <w:pStyle w:val="Normal"/>
        <w:spacing w:before="0" w:after="120"/>
        <w:ind w:right="-234" w:hanging="0"/>
        <w:jc w:val="center"/>
        <w:rPr/>
      </w:pPr>
      <w:r>
        <w:rPr/>
      </w:r>
    </w:p>
    <w:sectPr>
      <w:type w:val="nextPage"/>
      <w:pgSz w:w="12240" w:h="15840"/>
      <w:pgMar w:left="1701" w:right="1701" w:header="0" w:top="1418" w:footer="0"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Calibri Light">
    <w:charset w:val="01"/>
    <w:family w:val="roman"/>
    <w:pitch w:val="variable"/>
  </w:font>
  <w:font w:name="Tahoma">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CLÁUSULA %1."/>
      <w:lvlJc w:val="left"/>
      <w:pPr>
        <w:ind w:left="1778" w:hanging="360"/>
      </w:pPr>
    </w:lvl>
    <w:lvl w:ilvl="1">
      <w:start w:val="1"/>
      <w:numFmt w:val="lowerLetter"/>
      <w:lvlText w:val="%2."/>
      <w:lvlJc w:val="left"/>
      <w:pPr>
        <w:ind w:left="1932" w:hanging="360"/>
      </w:pPr>
    </w:lvl>
    <w:lvl w:ilvl="2">
      <w:start w:val="1"/>
      <w:numFmt w:val="lowerRoman"/>
      <w:lvlText w:val="%3."/>
      <w:lvlJc w:val="right"/>
      <w:pPr>
        <w:ind w:left="2652" w:hanging="180"/>
      </w:pPr>
    </w:lvl>
    <w:lvl w:ilvl="3">
      <w:start w:val="1"/>
      <w:numFmt w:val="decimal"/>
      <w:lvlText w:val="%4."/>
      <w:lvlJc w:val="left"/>
      <w:pPr>
        <w:ind w:left="3372" w:hanging="360"/>
      </w:pPr>
    </w:lvl>
    <w:lvl w:ilvl="4">
      <w:start w:val="1"/>
      <w:numFmt w:val="lowerLetter"/>
      <w:lvlText w:val="%5."/>
      <w:lvlJc w:val="left"/>
      <w:pPr>
        <w:ind w:left="4092" w:hanging="360"/>
      </w:pPr>
    </w:lvl>
    <w:lvl w:ilvl="5">
      <w:start w:val="1"/>
      <w:numFmt w:val="lowerRoman"/>
      <w:lvlText w:val="%6."/>
      <w:lvlJc w:val="right"/>
      <w:pPr>
        <w:ind w:left="4812" w:hanging="180"/>
      </w:pPr>
    </w:lvl>
    <w:lvl w:ilvl="6">
      <w:start w:val="1"/>
      <w:numFmt w:val="decimal"/>
      <w:lvlText w:val="%7."/>
      <w:lvlJc w:val="left"/>
      <w:pPr>
        <w:ind w:left="5532" w:hanging="360"/>
      </w:pPr>
    </w:lvl>
    <w:lvl w:ilvl="7">
      <w:start w:val="1"/>
      <w:numFmt w:val="lowerLetter"/>
      <w:lvlText w:val="%8."/>
      <w:lvlJc w:val="left"/>
      <w:pPr>
        <w:ind w:left="6252" w:hanging="360"/>
      </w:pPr>
    </w:lvl>
    <w:lvl w:ilvl="8">
      <w:start w:val="1"/>
      <w:numFmt w:val="lowerRoman"/>
      <w:lvlText w:val="%9."/>
      <w:lvlJc w:val="right"/>
      <w:pPr>
        <w:ind w:left="6972" w:hanging="180"/>
      </w:pPr>
    </w:lvl>
  </w:abstractNum>
  <w:abstractNum w:abstractNumId="2">
    <w:lvl w:ilvl="0">
      <w:start w:val="1"/>
      <w:numFmt w:val="decimal"/>
      <w:lvlText w:val="%1."/>
      <w:lvlJc w:val="left"/>
      <w:pPr>
        <w:ind w:left="705" w:hanging="705"/>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V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VE"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4aec"/>
    <w:pPr>
      <w:widowControl/>
      <w:bidi w:val="0"/>
      <w:spacing w:lineRule="auto" w:line="240" w:before="0" w:after="0"/>
      <w:jc w:val="left"/>
    </w:pPr>
    <w:rPr>
      <w:rFonts w:ascii="Times New Roman" w:hAnsi="Times New Roman" w:eastAsia="Times New Roman" w:cs="Times New Roman"/>
      <w:color w:val="auto"/>
      <w:kern w:val="0"/>
      <w:sz w:val="20"/>
      <w:szCs w:val="20"/>
      <w:lang w:val="es-ES" w:eastAsia="es-MX" w:bidi="ar-SA"/>
    </w:rPr>
  </w:style>
  <w:style w:type="paragraph" w:styleId="Ttulo1">
    <w:name w:val="Heading 1"/>
    <w:basedOn w:val="Normal"/>
    <w:next w:val="Cuerpodetexto"/>
    <w:link w:val="Ttulo1Car"/>
    <w:uiPriority w:val="9"/>
    <w:qFormat/>
    <w:rsid w:val="00c34aec"/>
    <w:pPr>
      <w:keepNext w:val="true"/>
      <w:tabs>
        <w:tab w:val="clear" w:pos="708"/>
        <w:tab w:val="left" w:pos="0" w:leader="none"/>
      </w:tabs>
      <w:suppressAutoHyphens w:val="true"/>
      <w:spacing w:before="240" w:after="120"/>
      <w:ind w:left="432" w:hanging="432"/>
      <w:outlineLvl w:val="0"/>
    </w:pPr>
    <w:rPr>
      <w:rFonts w:ascii="Liberation Sans" w:hAnsi="Liberation Sans" w:eastAsia="Microsoft YaHei" w:cs="Mangal"/>
      <w:b/>
      <w:bCs/>
      <w:spacing w:val="-3"/>
      <w:sz w:val="36"/>
      <w:szCs w:val="36"/>
      <w:lang w:val="es-VE" w:eastAsia="zh-CN"/>
    </w:rPr>
  </w:style>
  <w:style w:type="paragraph" w:styleId="Ttulo2">
    <w:name w:val="Heading 2"/>
    <w:basedOn w:val="Normal"/>
    <w:next w:val="Normal"/>
    <w:link w:val="Ttulo2Car"/>
    <w:uiPriority w:val="9"/>
    <w:semiHidden/>
    <w:unhideWhenUsed/>
    <w:qFormat/>
    <w:rsid w:val="00516b32"/>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Ttulo4">
    <w:name w:val="Heading 4"/>
    <w:basedOn w:val="Normal"/>
    <w:next w:val="Normal"/>
    <w:link w:val="Ttulo4Car"/>
    <w:uiPriority w:val="9"/>
    <w:unhideWhenUsed/>
    <w:qFormat/>
    <w:rsid w:val="00c34aec"/>
    <w:pPr>
      <w:keepNext w:val="true"/>
      <w:spacing w:before="240" w:after="60"/>
      <w:outlineLvl w:val="3"/>
    </w:pPr>
    <w:rPr>
      <w:rFonts w:ascii="Calibri" w:hAnsi="Calibri"/>
      <w:b/>
      <w:bCs/>
      <w:sz w:val="28"/>
      <w:szCs w:val="2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c34aec"/>
    <w:rPr>
      <w:rFonts w:ascii="Liberation Sans" w:hAnsi="Liberation Sans" w:eastAsia="Microsoft YaHei" w:cs="Mangal"/>
      <w:b/>
      <w:bCs/>
      <w:spacing w:val="-3"/>
      <w:sz w:val="36"/>
      <w:szCs w:val="36"/>
      <w:lang w:eastAsia="zh-CN"/>
    </w:rPr>
  </w:style>
  <w:style w:type="character" w:styleId="Ttulo4Car" w:customStyle="1">
    <w:name w:val="Título 4 Car"/>
    <w:basedOn w:val="DefaultParagraphFont"/>
    <w:link w:val="Ttulo4"/>
    <w:uiPriority w:val="9"/>
    <w:qFormat/>
    <w:rsid w:val="00c34aec"/>
    <w:rPr>
      <w:rFonts w:ascii="Calibri" w:hAnsi="Calibri" w:eastAsia="Times New Roman" w:cs="Times New Roman"/>
      <w:b/>
      <w:bCs/>
      <w:sz w:val="28"/>
      <w:szCs w:val="28"/>
      <w:lang w:val="es-ES" w:eastAsia="es-MX"/>
    </w:rPr>
  </w:style>
  <w:style w:type="character" w:styleId="FontStyle19" w:customStyle="1">
    <w:name w:val="Font Style19"/>
    <w:uiPriority w:val="99"/>
    <w:qFormat/>
    <w:rsid w:val="00c34aec"/>
    <w:rPr>
      <w:rFonts w:ascii="Tahoma" w:hAnsi="Tahoma" w:cs="Tahoma"/>
      <w:sz w:val="24"/>
    </w:rPr>
  </w:style>
  <w:style w:type="character" w:styleId="FontStyle20" w:customStyle="1">
    <w:name w:val="Font Style20"/>
    <w:uiPriority w:val="99"/>
    <w:qFormat/>
    <w:rsid w:val="00c34aec"/>
    <w:rPr>
      <w:rFonts w:ascii="Tahoma" w:hAnsi="Tahoma" w:cs="Tahoma"/>
      <w:b/>
      <w:sz w:val="24"/>
    </w:rPr>
  </w:style>
  <w:style w:type="character" w:styleId="Textoindependiente2Car" w:customStyle="1">
    <w:name w:val="Texto independiente 2 Car"/>
    <w:basedOn w:val="DefaultParagraphFont"/>
    <w:link w:val="Textoindependiente2"/>
    <w:qFormat/>
    <w:rsid w:val="00c34aec"/>
    <w:rPr>
      <w:rFonts w:ascii="Liberation Serif" w:hAnsi="Liberation Serif" w:eastAsia="SimSun" w:cs="Mangal"/>
      <w:kern w:val="2"/>
      <w:sz w:val="24"/>
      <w:szCs w:val="21"/>
      <w:lang w:eastAsia="zh-CN" w:bidi="hi-IN"/>
    </w:rPr>
  </w:style>
  <w:style w:type="character" w:styleId="PiedepginaCar" w:customStyle="1">
    <w:name w:val="Pie de página Car"/>
    <w:basedOn w:val="DefaultParagraphFont"/>
    <w:link w:val="Piedepgina"/>
    <w:uiPriority w:val="99"/>
    <w:qFormat/>
    <w:rsid w:val="00c34aec"/>
    <w:rPr>
      <w:rFonts w:ascii="Times New Roman" w:hAnsi="Times New Roman" w:eastAsia="Times New Roman" w:cs="Times New Roman"/>
      <w:sz w:val="20"/>
      <w:szCs w:val="20"/>
      <w:lang w:val="es-ES" w:eastAsia="es-MX"/>
    </w:rPr>
  </w:style>
  <w:style w:type="character" w:styleId="TextoindependienteCar" w:customStyle="1">
    <w:name w:val="Texto independiente Car"/>
    <w:basedOn w:val="DefaultParagraphFont"/>
    <w:link w:val="Textoindependiente"/>
    <w:uiPriority w:val="99"/>
    <w:semiHidden/>
    <w:qFormat/>
    <w:rsid w:val="00c34aec"/>
    <w:rPr>
      <w:rFonts w:ascii="Times New Roman" w:hAnsi="Times New Roman" w:eastAsia="Times New Roman" w:cs="Times New Roman"/>
      <w:sz w:val="20"/>
      <w:szCs w:val="20"/>
      <w:lang w:val="es-ES" w:eastAsia="es-MX"/>
    </w:rPr>
  </w:style>
  <w:style w:type="character" w:styleId="EncabezadoCar" w:customStyle="1">
    <w:name w:val="Encabezado Car"/>
    <w:basedOn w:val="DefaultParagraphFont"/>
    <w:link w:val="Encabezado"/>
    <w:uiPriority w:val="99"/>
    <w:qFormat/>
    <w:rsid w:val="00c34aec"/>
    <w:rPr>
      <w:rFonts w:ascii="Times New Roman" w:hAnsi="Times New Roman" w:eastAsia="Times New Roman" w:cs="Times New Roman"/>
      <w:sz w:val="20"/>
      <w:szCs w:val="20"/>
      <w:lang w:val="es-ES" w:eastAsia="es-MX"/>
    </w:rPr>
  </w:style>
  <w:style w:type="character" w:styleId="Ttulo2Car" w:customStyle="1">
    <w:name w:val="Título 2 Car"/>
    <w:basedOn w:val="DefaultParagraphFont"/>
    <w:link w:val="Ttulo2"/>
    <w:uiPriority w:val="9"/>
    <w:semiHidden/>
    <w:qFormat/>
    <w:rsid w:val="00516b32"/>
    <w:rPr>
      <w:rFonts w:ascii="Calibri Light" w:hAnsi="Calibri Light" w:eastAsia="" w:cs="" w:asciiTheme="majorHAnsi" w:cstheme="majorBidi" w:eastAsiaTheme="majorEastAsia" w:hAnsiTheme="majorHAnsi"/>
      <w:color w:val="2E74B5" w:themeColor="accent1" w:themeShade="bf"/>
      <w:sz w:val="26"/>
      <w:szCs w:val="26"/>
      <w:lang w:val="es-ES" w:eastAsia="es-MX"/>
    </w:rPr>
  </w:style>
  <w:style w:type="paragraph" w:styleId="Ttulo">
    <w:name w:val="Título"/>
    <w:basedOn w:val="Normal"/>
    <w:next w:val="Cuerpodetexto"/>
    <w:qFormat/>
    <w:pPr>
      <w:keepNext w:val="true"/>
      <w:spacing w:before="240" w:after="120"/>
    </w:pPr>
    <w:rPr>
      <w:rFonts w:ascii="Liberation Sans" w:hAnsi="Liberation Sans" w:eastAsia="DejaVu Sans" w:cs="DejaVu Sans"/>
      <w:sz w:val="28"/>
      <w:szCs w:val="28"/>
    </w:rPr>
  </w:style>
  <w:style w:type="paragraph" w:styleId="Cuerpodetexto">
    <w:name w:val="Body Text"/>
    <w:basedOn w:val="Normal"/>
    <w:link w:val="TextoindependienteCar"/>
    <w:uiPriority w:val="99"/>
    <w:semiHidden/>
    <w:unhideWhenUsed/>
    <w:rsid w:val="00c34aec"/>
    <w:pPr>
      <w:spacing w:before="0" w:after="120"/>
    </w:pPr>
    <w:rPr/>
  </w:style>
  <w:style w:type="paragraph" w:styleId="Lista">
    <w:name w:val="List"/>
    <w:basedOn w:val="Cuerpodetexto"/>
    <w:pPr/>
    <w:rPr/>
  </w:style>
  <w:style w:type="paragraph" w:styleId="Leyenda">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Style31" w:customStyle="1">
    <w:name w:val="Style3"/>
    <w:basedOn w:val="Normal"/>
    <w:uiPriority w:val="99"/>
    <w:qFormat/>
    <w:rsid w:val="00c34aec"/>
    <w:pPr>
      <w:widowControl w:val="false"/>
      <w:spacing w:lineRule="exact" w:line="313"/>
      <w:jc w:val="both"/>
    </w:pPr>
    <w:rPr>
      <w:rFonts w:ascii="Tahoma" w:hAnsi="Tahoma" w:cs="Tahoma"/>
      <w:spacing w:val="-3"/>
      <w:sz w:val="24"/>
      <w:szCs w:val="24"/>
      <w:lang w:val="es-VE" w:eastAsia="zh-CN"/>
    </w:rPr>
  </w:style>
  <w:style w:type="paragraph" w:styleId="BodyText2">
    <w:name w:val="Body Text 2"/>
    <w:basedOn w:val="Normal"/>
    <w:link w:val="Textoindependiente2Car"/>
    <w:unhideWhenUsed/>
    <w:qFormat/>
    <w:rsid w:val="00c34aec"/>
    <w:pPr>
      <w:widowControl w:val="false"/>
      <w:suppressAutoHyphens w:val="true"/>
      <w:spacing w:lineRule="auto" w:line="480" w:before="0" w:after="120"/>
    </w:pPr>
    <w:rPr>
      <w:rFonts w:ascii="Liberation Serif" w:hAnsi="Liberation Serif" w:eastAsia="SimSun" w:cs="Mangal"/>
      <w:kern w:val="2"/>
      <w:sz w:val="24"/>
      <w:szCs w:val="21"/>
      <w:lang w:val="es-VE" w:eastAsia="zh-CN" w:bidi="hi-IN"/>
    </w:rPr>
  </w:style>
  <w:style w:type="paragraph" w:styleId="Piedepgina">
    <w:name w:val="Footer"/>
    <w:basedOn w:val="Normal"/>
    <w:link w:val="PiedepginaCar"/>
    <w:uiPriority w:val="99"/>
    <w:unhideWhenUsed/>
    <w:rsid w:val="00c34aec"/>
    <w:pPr>
      <w:tabs>
        <w:tab w:val="clear" w:pos="708"/>
        <w:tab w:val="center" w:pos="4419" w:leader="none"/>
        <w:tab w:val="right" w:pos="8838" w:leader="none"/>
      </w:tabs>
    </w:pPr>
    <w:rPr/>
  </w:style>
  <w:style w:type="paragraph" w:styleId="Cabecera">
    <w:name w:val="Header"/>
    <w:basedOn w:val="Normal"/>
    <w:link w:val="EncabezadoCar"/>
    <w:uiPriority w:val="99"/>
    <w:unhideWhenUsed/>
    <w:rsid w:val="00c34aec"/>
    <w:pPr>
      <w:tabs>
        <w:tab w:val="clear" w:pos="708"/>
        <w:tab w:val="center" w:pos="4419" w:leader="none"/>
        <w:tab w:val="right" w:pos="8838"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LibreOffice/6.1.5.2$Linux_X86_64 LibreOffice_project/10$Build-2</Application>
  <Pages>3</Pages>
  <Words>667</Words>
  <Characters>3761</Characters>
  <CharactersWithSpaces>4488</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2022-12-12T13:16:00Z</dcterms:created>
  <dc:creator>giovannyg</dc:creator>
  <dc:description/>
  <dc:language>es-VE</dc:language>
  <cp:lastModifiedBy/>
  <dcterms:modified xsi:type="dcterms:W3CDTF">2023-05-12T16:05:26Z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