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2154" w:rsidRDefault="00572154" w:rsidP="00572154">
      <w:pPr>
        <w:spacing w:before="100" w:beforeAutospacing="1" w:after="100" w:afterAutospacing="1" w:line="240" w:lineRule="auto"/>
        <w:jc w:val="both"/>
        <w:outlineLvl w:val="0"/>
        <w:rPr>
          <w:rFonts w:ascii="Microsoft Sans Serif" w:eastAsia="Times New Roman" w:hAnsi="Microsoft Sans Serif" w:cs="Microsoft Sans Serif"/>
          <w:b/>
          <w:bCs/>
          <w:kern w:val="36"/>
          <w:sz w:val="36"/>
          <w:szCs w:val="36"/>
          <w:lang w:eastAsia="es-ES"/>
        </w:rPr>
      </w:pPr>
      <w:r w:rsidRPr="00572154">
        <w:rPr>
          <w:rFonts w:ascii="Microsoft Sans Serif" w:eastAsia="Times New Roman" w:hAnsi="Microsoft Sans Serif" w:cs="Microsoft Sans Serif"/>
          <w:b/>
          <w:bCs/>
          <w:kern w:val="36"/>
          <w:sz w:val="36"/>
          <w:szCs w:val="36"/>
          <w:lang w:eastAsia="es-ES"/>
        </w:rPr>
        <w:t>https://www.piranirisk.com/es/blog/3-herramientas-para-monitorear-operaciones-inusuales</w:t>
      </w:r>
    </w:p>
    <w:p w:rsidR="00572154" w:rsidRPr="00572154" w:rsidRDefault="00572154" w:rsidP="00572154">
      <w:pPr>
        <w:spacing w:before="100" w:beforeAutospacing="1" w:after="100" w:afterAutospacing="1" w:line="240" w:lineRule="auto"/>
        <w:jc w:val="both"/>
        <w:outlineLvl w:val="0"/>
        <w:rPr>
          <w:rFonts w:ascii="Microsoft Sans Serif" w:eastAsia="Times New Roman" w:hAnsi="Microsoft Sans Serif" w:cs="Microsoft Sans Serif"/>
          <w:b/>
          <w:bCs/>
          <w:kern w:val="36"/>
          <w:sz w:val="36"/>
          <w:szCs w:val="36"/>
          <w:lang w:eastAsia="es-ES"/>
        </w:rPr>
      </w:pPr>
      <w:bookmarkStart w:id="0" w:name="_GoBack"/>
      <w:r w:rsidRPr="00572154">
        <w:rPr>
          <w:rFonts w:ascii="Microsoft Sans Serif" w:eastAsia="Times New Roman" w:hAnsi="Microsoft Sans Serif" w:cs="Microsoft Sans Serif"/>
          <w:b/>
          <w:bCs/>
          <w:kern w:val="36"/>
          <w:sz w:val="36"/>
          <w:szCs w:val="36"/>
          <w:lang w:eastAsia="es-ES"/>
        </w:rPr>
        <w:t>3 herramientas para monitorear operaciones inusuales</w:t>
      </w:r>
    </w:p>
    <w:bookmarkEnd w:id="0"/>
    <w:p w:rsidR="00572154" w:rsidRPr="00572154" w:rsidRDefault="00572154" w:rsidP="0057215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572154">
        <w:rPr>
          <w:rFonts w:ascii="Microsoft Sans Serif" w:eastAsia="Times New Roman" w:hAnsi="Microsoft Sans Serif" w:cs="Microsoft Sans Serif"/>
          <w:sz w:val="24"/>
          <w:szCs w:val="24"/>
          <w:lang w:eastAsia="es-ES"/>
        </w:rPr>
        <w:t xml:space="preserve">Por </w:t>
      </w:r>
      <w:hyperlink r:id="rId5" w:history="1">
        <w:r w:rsidRPr="00572154">
          <w:rPr>
            <w:rFonts w:ascii="Microsoft Sans Serif" w:eastAsia="Times New Roman" w:hAnsi="Microsoft Sans Serif" w:cs="Microsoft Sans Serif"/>
            <w:color w:val="0000FF"/>
            <w:sz w:val="24"/>
            <w:szCs w:val="24"/>
            <w:u w:val="single"/>
            <w:lang w:eastAsia="es-ES"/>
          </w:rPr>
          <w:t>Juan Pablo Calle</w:t>
        </w:r>
      </w:hyperlink>
      <w:r w:rsidRPr="00572154">
        <w:rPr>
          <w:rFonts w:ascii="Microsoft Sans Serif" w:eastAsia="Times New Roman" w:hAnsi="Microsoft Sans Serif" w:cs="Microsoft Sans Serif"/>
          <w:sz w:val="24"/>
          <w:szCs w:val="24"/>
          <w:lang w:eastAsia="es-ES"/>
        </w:rPr>
        <w:t>, en octubre 06, 2022</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b/>
          <w:bCs/>
        </w:rPr>
        <w:t>¿Sabes cómo puedes monitorear operaciones sospechosas?</w:t>
      </w:r>
      <w:r w:rsidRPr="00572154">
        <w:rPr>
          <w:rFonts w:ascii="Microsoft Sans Serif" w:hAnsi="Microsoft Sans Serif" w:cs="Microsoft Sans Serif"/>
        </w:rPr>
        <w:t xml:space="preserve"> En este artículo te mostramos tres herramientas para que lo hagas como un experto.</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Monitorear la prevención del lavado de activos y de la financiación del terrorismo significa acompañar el comportamiento de los movimientos transaccionales de un cliente, evaluando si la actividad que realiza está dentro de lo esperado o si hubo algún cambio significativo en su perfil.</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 xml:space="preserve">Cualquiera que sea la herramienta que use tu empresa para monitorear el lavado de dinero, </w:t>
      </w:r>
      <w:r w:rsidRPr="00572154">
        <w:rPr>
          <w:rStyle w:val="Textoennegrita"/>
          <w:rFonts w:ascii="Microsoft Sans Serif" w:hAnsi="Microsoft Sans Serif" w:cs="Microsoft Sans Serif"/>
        </w:rPr>
        <w:t>debe generar alertas teniendo en cuenta los diferentes productos o servicios financieros</w:t>
      </w:r>
      <w:r w:rsidRPr="00572154">
        <w:rPr>
          <w:rFonts w:ascii="Microsoft Sans Serif" w:hAnsi="Microsoft Sans Serif" w:cs="Microsoft Sans Serif"/>
        </w:rPr>
        <w:t>: transferencias electrónicas, cheques, órdenes de pago, transacciones en especie, préstamos, seguros, financiamientos, entre otros.</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Al</w:t>
      </w:r>
      <w:hyperlink r:id="rId6" w:tgtFrame="_blank" w:history="1">
        <w:r w:rsidRPr="00572154">
          <w:rPr>
            <w:rStyle w:val="Textoennegrita"/>
            <w:rFonts w:ascii="Microsoft Sans Serif" w:hAnsi="Microsoft Sans Serif" w:cs="Microsoft Sans Serif"/>
          </w:rPr>
          <w:t xml:space="preserve"> identificar</w:t>
        </w:r>
        <w:r w:rsidRPr="00572154">
          <w:rPr>
            <w:rStyle w:val="Hipervnculo"/>
            <w:rFonts w:ascii="Microsoft Sans Serif" w:eastAsiaTheme="majorEastAsia" w:hAnsi="Microsoft Sans Serif" w:cs="Microsoft Sans Serif"/>
          </w:rPr>
          <w:t> </w:t>
        </w:r>
        <w:r w:rsidRPr="00572154">
          <w:rPr>
            <w:rStyle w:val="Textoennegrita"/>
            <w:rFonts w:ascii="Microsoft Sans Serif" w:hAnsi="Microsoft Sans Serif" w:cs="Microsoft Sans Serif"/>
          </w:rPr>
          <w:t>operaciones inusuales</w:t>
        </w:r>
      </w:hyperlink>
      <w:r w:rsidRPr="00572154">
        <w:rPr>
          <w:rFonts w:ascii="Microsoft Sans Serif" w:hAnsi="Microsoft Sans Serif" w:cs="Microsoft Sans Serif"/>
        </w:rPr>
        <w:t>, es necesario escalar a tiempo las sospechas anexando un informe del análisis respectivo en el que conste la verificación del origen y del destino de los recursos.</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Un informe de operaciones inusuales debe incluir los siguientes aspectos:</w:t>
      </w:r>
    </w:p>
    <w:p w:rsidR="00572154" w:rsidRPr="00572154" w:rsidRDefault="00572154" w:rsidP="00572154">
      <w:pPr>
        <w:numPr>
          <w:ilvl w:val="0"/>
          <w:numId w:val="1"/>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Explicación de las señales de alerta encontradas.</w:t>
      </w:r>
    </w:p>
    <w:p w:rsidR="00572154" w:rsidRPr="00572154" w:rsidRDefault="00572154" w:rsidP="00572154">
      <w:pPr>
        <w:numPr>
          <w:ilvl w:val="0"/>
          <w:numId w:val="1"/>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Información adicional que permita identificar el destino de los recursos.</w:t>
      </w:r>
    </w:p>
    <w:p w:rsidR="00572154" w:rsidRPr="00572154" w:rsidRDefault="00572154" w:rsidP="00572154">
      <w:pPr>
        <w:numPr>
          <w:ilvl w:val="0"/>
          <w:numId w:val="1"/>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Comprobantes que permitan reconocer los movimientos financieros informados.</w:t>
      </w:r>
    </w:p>
    <w:p w:rsidR="00572154" w:rsidRPr="00572154" w:rsidRDefault="00572154" w:rsidP="00572154">
      <w:pPr>
        <w:numPr>
          <w:ilvl w:val="0"/>
          <w:numId w:val="1"/>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 xml:space="preserve">Elementos del proceso </w:t>
      </w:r>
      <w:hyperlink r:id="rId7" w:tgtFrame="_blank" w:history="1">
        <w:r w:rsidRPr="00572154">
          <w:rPr>
            <w:rStyle w:val="Hipervnculo"/>
            <w:rFonts w:ascii="Microsoft Sans Serif" w:hAnsi="Microsoft Sans Serif" w:cs="Microsoft Sans Serif"/>
            <w:b/>
            <w:bCs/>
            <w:sz w:val="24"/>
            <w:szCs w:val="24"/>
          </w:rPr>
          <w:t>KYC, conoce a tu cliente</w:t>
        </w:r>
      </w:hyperlink>
      <w:r w:rsidRPr="00572154">
        <w:rPr>
          <w:rFonts w:ascii="Microsoft Sans Serif" w:hAnsi="Microsoft Sans Serif" w:cs="Microsoft Sans Serif"/>
          <w:sz w:val="24"/>
          <w:szCs w:val="24"/>
        </w:rPr>
        <w:t>, que ayuden a determinar el comportamiento financiero del cliente.</w:t>
      </w:r>
    </w:p>
    <w:p w:rsidR="00572154" w:rsidRPr="00572154" w:rsidRDefault="00572154" w:rsidP="00572154">
      <w:pPr>
        <w:pStyle w:val="Ttulo2"/>
        <w:jc w:val="both"/>
        <w:rPr>
          <w:rFonts w:ascii="Microsoft Sans Serif" w:hAnsi="Microsoft Sans Serif" w:cs="Microsoft Sans Serif"/>
          <w:sz w:val="24"/>
          <w:szCs w:val="24"/>
        </w:rPr>
      </w:pPr>
      <w:r w:rsidRPr="00572154">
        <w:rPr>
          <w:rStyle w:val="Textoennegrita"/>
          <w:rFonts w:ascii="Microsoft Sans Serif" w:hAnsi="Microsoft Sans Serif" w:cs="Microsoft Sans Serif"/>
          <w:b w:val="0"/>
          <w:bCs w:val="0"/>
          <w:sz w:val="24"/>
          <w:szCs w:val="24"/>
        </w:rPr>
        <w:t>Herramientas de monitoreo de operaciones inusuales</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 xml:space="preserve">Actualmente, existen diferentes herramientas para monitorear </w:t>
      </w:r>
      <w:hyperlink r:id="rId8" w:tgtFrame="_blank" w:history="1">
        <w:r w:rsidRPr="00572154">
          <w:rPr>
            <w:rStyle w:val="Hipervnculo"/>
            <w:rFonts w:ascii="Microsoft Sans Serif" w:eastAsiaTheme="majorEastAsia" w:hAnsi="Microsoft Sans Serif" w:cs="Microsoft Sans Serif"/>
            <w:b/>
            <w:bCs/>
          </w:rPr>
          <w:t>operaciones sospechosas relacionadas con lavado de activos y financiación del terrorismo</w:t>
        </w:r>
      </w:hyperlink>
      <w:r w:rsidRPr="00572154">
        <w:rPr>
          <w:rFonts w:ascii="Microsoft Sans Serif" w:hAnsi="Microsoft Sans Serif" w:cs="Microsoft Sans Serif"/>
        </w:rPr>
        <w:t xml:space="preserve">. Estas herramientas pueden dividirse en tres: </w:t>
      </w:r>
      <w:r w:rsidRPr="00572154">
        <w:rPr>
          <w:rStyle w:val="Textoennegrita"/>
          <w:rFonts w:ascii="Microsoft Sans Serif" w:hAnsi="Microsoft Sans Serif" w:cs="Microsoft Sans Serif"/>
        </w:rPr>
        <w:t>informáticas, manuales y listados de nombres.</w:t>
      </w:r>
    </w:p>
    <w:p w:rsidR="00572154" w:rsidRPr="00572154" w:rsidRDefault="00572154" w:rsidP="00572154">
      <w:pPr>
        <w:pStyle w:val="Ttulo3"/>
        <w:jc w:val="both"/>
        <w:rPr>
          <w:rFonts w:ascii="Microsoft Sans Serif" w:hAnsi="Microsoft Sans Serif" w:cs="Microsoft Sans Serif"/>
        </w:rPr>
      </w:pPr>
      <w:r w:rsidRPr="00572154">
        <w:rPr>
          <w:rStyle w:val="Textoennegrita"/>
          <w:rFonts w:ascii="Microsoft Sans Serif" w:hAnsi="Microsoft Sans Serif" w:cs="Microsoft Sans Serif"/>
          <w:b w:val="0"/>
          <w:bCs w:val="0"/>
        </w:rPr>
        <w:t>1. Sistemas informáticos de monitoreo de operaciones inusuales</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Algunas organizaciones utilizan sistemas informáticos para monitorear las transacciones y detectar aquellas que se salen de un patrón específico de comportamiento.</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lastRenderedPageBreak/>
        <w:t xml:space="preserve">El parámetro más común en este tipo de sistemas es la comparación entre límites preestablecidos y movimientos bancarios. Cuando se encuentra alguna inconsistencia de parámetros, el sistema envía una alerta a los gestores de riesgo para que analicen el caso y para que la actividad sospechosa, sea reportada a las autoridades competentes. </w:t>
      </w:r>
    </w:p>
    <w:p w:rsidR="00572154" w:rsidRPr="00572154" w:rsidRDefault="00572154" w:rsidP="00572154">
      <w:pPr>
        <w:pStyle w:val="NormalWeb"/>
        <w:jc w:val="both"/>
        <w:rPr>
          <w:rFonts w:ascii="Microsoft Sans Serif" w:hAnsi="Microsoft Sans Serif" w:cs="Microsoft Sans Serif"/>
        </w:rPr>
      </w:pPr>
      <w:r w:rsidRPr="00572154">
        <w:rPr>
          <w:rStyle w:val="Textoennegrita"/>
          <w:rFonts w:ascii="Microsoft Sans Serif" w:hAnsi="Microsoft Sans Serif" w:cs="Microsoft Sans Serif"/>
        </w:rPr>
        <w:t>Principales criterios que usan los sistemas informáticos:</w:t>
      </w:r>
    </w:p>
    <w:p w:rsidR="00572154" w:rsidRPr="00572154" w:rsidRDefault="00572154" w:rsidP="00572154">
      <w:pPr>
        <w:numPr>
          <w:ilvl w:val="0"/>
          <w:numId w:val="2"/>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Ingresos y patrimonio del cliente incompatible con las operaciones que usualmente realiza.</w:t>
      </w:r>
    </w:p>
    <w:p w:rsidR="00572154" w:rsidRPr="00572154" w:rsidRDefault="00572154" w:rsidP="00572154">
      <w:pPr>
        <w:numPr>
          <w:ilvl w:val="0"/>
          <w:numId w:val="2"/>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Aumento en la cantidad de operaciones realizadas por el cliente dentro de un periodo determinado.</w:t>
      </w:r>
    </w:p>
    <w:p w:rsidR="00572154" w:rsidRPr="00572154" w:rsidRDefault="00572154" w:rsidP="00572154">
      <w:pPr>
        <w:numPr>
          <w:ilvl w:val="0"/>
          <w:numId w:val="2"/>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Contratación de nuevos productos y servicios que no concuerdan con el perfil del cliente.</w:t>
      </w:r>
    </w:p>
    <w:p w:rsidR="00572154" w:rsidRPr="00572154" w:rsidRDefault="00572154" w:rsidP="00572154">
      <w:pPr>
        <w:numPr>
          <w:ilvl w:val="0"/>
          <w:numId w:val="2"/>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Cambios frecuentes en los datos del registro del cliente.</w:t>
      </w:r>
    </w:p>
    <w:p w:rsidR="00572154" w:rsidRPr="00572154" w:rsidRDefault="00572154" w:rsidP="00572154">
      <w:pPr>
        <w:numPr>
          <w:ilvl w:val="0"/>
          <w:numId w:val="2"/>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Movimientos en especie por encima de determinado valor.</w:t>
      </w:r>
    </w:p>
    <w:p w:rsidR="00572154" w:rsidRPr="00572154" w:rsidRDefault="00572154" w:rsidP="00572154">
      <w:pPr>
        <w:numPr>
          <w:ilvl w:val="0"/>
          <w:numId w:val="2"/>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Extralimitación de los límites concedidos.</w:t>
      </w:r>
    </w:p>
    <w:p w:rsidR="00572154" w:rsidRPr="00572154" w:rsidRDefault="00572154" w:rsidP="00572154">
      <w:pPr>
        <w:numPr>
          <w:ilvl w:val="0"/>
          <w:numId w:val="2"/>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Reincidencia de alertas por movimientos atípicos.</w:t>
      </w:r>
    </w:p>
    <w:p w:rsidR="00572154" w:rsidRPr="00572154" w:rsidRDefault="00572154" w:rsidP="00572154">
      <w:pPr>
        <w:numPr>
          <w:ilvl w:val="0"/>
          <w:numId w:val="2"/>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Denuncias registradas en el sistema interno.</w:t>
      </w:r>
    </w:p>
    <w:p w:rsidR="00572154" w:rsidRPr="00572154" w:rsidRDefault="00572154" w:rsidP="00572154">
      <w:pPr>
        <w:numPr>
          <w:ilvl w:val="0"/>
          <w:numId w:val="2"/>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Gran volumen de transferencias a terceros.</w:t>
      </w:r>
    </w:p>
    <w:p w:rsidR="00572154" w:rsidRPr="00572154" w:rsidRDefault="00572154" w:rsidP="00572154">
      <w:pPr>
        <w:numPr>
          <w:ilvl w:val="0"/>
          <w:numId w:val="2"/>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Muchas transacciones de pequeño valor.</w:t>
      </w:r>
    </w:p>
    <w:p w:rsidR="00572154" w:rsidRPr="00572154" w:rsidRDefault="00572154" w:rsidP="00572154">
      <w:pPr>
        <w:numPr>
          <w:ilvl w:val="0"/>
          <w:numId w:val="2"/>
        </w:numPr>
        <w:spacing w:before="100" w:beforeAutospacing="1" w:after="100" w:afterAutospacing="1" w:line="240" w:lineRule="auto"/>
        <w:jc w:val="both"/>
        <w:rPr>
          <w:rFonts w:ascii="Microsoft Sans Serif" w:hAnsi="Microsoft Sans Serif" w:cs="Microsoft Sans Serif"/>
          <w:sz w:val="24"/>
          <w:szCs w:val="24"/>
        </w:rPr>
      </w:pPr>
      <w:r w:rsidRPr="00572154">
        <w:rPr>
          <w:rFonts w:ascii="Microsoft Sans Serif" w:hAnsi="Microsoft Sans Serif" w:cs="Microsoft Sans Serif"/>
          <w:sz w:val="24"/>
          <w:szCs w:val="24"/>
        </w:rPr>
        <w:t>Recursos parados en cuenta corriente.</w:t>
      </w:r>
    </w:p>
    <w:p w:rsidR="00572154" w:rsidRPr="00572154" w:rsidRDefault="00572154" w:rsidP="00572154">
      <w:pPr>
        <w:pStyle w:val="Ttulo3"/>
        <w:jc w:val="both"/>
        <w:rPr>
          <w:rFonts w:ascii="Microsoft Sans Serif" w:hAnsi="Microsoft Sans Serif" w:cs="Microsoft Sans Serif"/>
        </w:rPr>
      </w:pPr>
      <w:r w:rsidRPr="00572154">
        <w:rPr>
          <w:rStyle w:val="Textoennegrita"/>
          <w:rFonts w:ascii="Microsoft Sans Serif" w:hAnsi="Microsoft Sans Serif" w:cs="Microsoft Sans Serif"/>
          <w:b w:val="0"/>
          <w:bCs w:val="0"/>
        </w:rPr>
        <w:t>2. Monitoreo manual de las operaciones</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Aunque el análisis informático de las operaciones inusuales es el escenario ideal, no todas las organizaciones usan un software para monitorear transacciones, algunas lo hacen de forma manual.</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Los resultados del monitoreo manual deben consignarse en un informe verificado por el área de cumplimiento de la empresa.</w:t>
      </w:r>
      <w:r w:rsidRPr="00572154">
        <w:rPr>
          <w:rStyle w:val="Textoennegrita"/>
          <w:rFonts w:ascii="Microsoft Sans Serif" w:hAnsi="Microsoft Sans Serif" w:cs="Microsoft Sans Serif"/>
        </w:rPr>
        <w:t xml:space="preserve"> Este monitoreo normalmente se lleva a cabo a través del diligenciamiento de formularios, comités, reuniones, correos electrónicos o cualquier otro medio que formalice el control de las transacciones</w:t>
      </w:r>
      <w:r w:rsidRPr="00572154">
        <w:rPr>
          <w:rFonts w:ascii="Microsoft Sans Serif" w:hAnsi="Microsoft Sans Serif" w:cs="Microsoft Sans Serif"/>
        </w:rPr>
        <w:t>, así como el seguimiento de las operaciones inusuales.  </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También son analizados los informes donde se explican los movimientos realizados por los clientes, generalmente usando filtros para detectar transacciones no convencionales. Esta metodología es más utilizada por empresas que no tienen un gran volumen de operaciones, pocos productos u operaciones de baja complejidad.</w:t>
      </w:r>
    </w:p>
    <w:p w:rsidR="00572154" w:rsidRPr="00572154" w:rsidRDefault="00572154" w:rsidP="00572154">
      <w:pPr>
        <w:pStyle w:val="Ttulo3"/>
        <w:jc w:val="both"/>
        <w:rPr>
          <w:rFonts w:ascii="Microsoft Sans Serif" w:hAnsi="Microsoft Sans Serif" w:cs="Microsoft Sans Serif"/>
        </w:rPr>
      </w:pPr>
      <w:r w:rsidRPr="00572154">
        <w:rPr>
          <w:rStyle w:val="Textoennegrita"/>
          <w:rFonts w:ascii="Microsoft Sans Serif" w:hAnsi="Microsoft Sans Serif" w:cs="Microsoft Sans Serif"/>
          <w:b w:val="0"/>
          <w:bCs w:val="0"/>
        </w:rPr>
        <w:t>3. Listados de nombres sospechosos</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Hay listas restrictivas de personas buscadas por la policía internacional por estar involucradas con el terrorismo o en crímenes de lavado de dinero, incluso, algunos servicios de protección de crédito ofrecen una lista de personas políticamente expuestas.</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 xml:space="preserve">En esos listados constan los nombres de personas naturales (sospechosas, acusadas, condenadas o prófugos de la justicia) y personas jurídicas, países, </w:t>
      </w:r>
      <w:r w:rsidRPr="00572154">
        <w:rPr>
          <w:rFonts w:ascii="Microsoft Sans Serif" w:hAnsi="Microsoft Sans Serif" w:cs="Microsoft Sans Serif"/>
        </w:rPr>
        <w:lastRenderedPageBreak/>
        <w:t>gobiernos y funcionarios, organizaciones criminales, terroristas, traficantes o con algún embargo comercial o económico.</w:t>
      </w:r>
    </w:p>
    <w:p w:rsidR="00572154" w:rsidRPr="00572154" w:rsidRDefault="00572154" w:rsidP="00572154">
      <w:pPr>
        <w:pStyle w:val="NormalWeb"/>
        <w:jc w:val="both"/>
        <w:rPr>
          <w:rFonts w:ascii="Microsoft Sans Serif" w:hAnsi="Microsoft Sans Serif" w:cs="Microsoft Sans Serif"/>
        </w:rPr>
      </w:pPr>
      <w:r w:rsidRPr="00572154">
        <w:rPr>
          <w:rStyle w:val="Textoennegrita"/>
          <w:rFonts w:ascii="Microsoft Sans Serif" w:hAnsi="Microsoft Sans Serif" w:cs="Microsoft Sans Serif"/>
        </w:rPr>
        <w:t>El uso de estas listas restrictivas previene a las instituciones financieras para que no establezcan relación comercial alguna con empresas o personas sospechosas.</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Como buena práctica de prevención y combate del lavado de activos, las instituciones financieras deben definir procedimientos para verificar todas las listas disponibles, describiendo la responsabilidad interna por la verificación y el control, el sistema utilizado, las acciones que serán implementadas al identificar los nombres de personas o entidades sospechosas y el periodo de custodia de la documentación probatoria.</w:t>
      </w:r>
    </w:p>
    <w:p w:rsidR="00572154" w:rsidRPr="00572154" w:rsidRDefault="00572154" w:rsidP="00572154">
      <w:pPr>
        <w:pStyle w:val="NormalWeb"/>
        <w:jc w:val="both"/>
        <w:rPr>
          <w:rFonts w:ascii="Microsoft Sans Serif" w:hAnsi="Microsoft Sans Serif" w:cs="Microsoft Sans Serif"/>
        </w:rPr>
      </w:pPr>
      <w:r w:rsidRPr="00572154">
        <w:rPr>
          <w:rFonts w:ascii="Microsoft Sans Serif" w:hAnsi="Microsoft Sans Serif" w:cs="Microsoft Sans Serif"/>
        </w:rPr>
        <w:t>Aunque pueden haber más herramientas para monitorear operaciones inusuales, hacerlo con un software de gestión de riesgos como </w:t>
      </w:r>
      <w:proofErr w:type="spellStart"/>
      <w:r w:rsidRPr="00572154">
        <w:rPr>
          <w:rFonts w:ascii="Microsoft Sans Serif" w:hAnsi="Microsoft Sans Serif" w:cs="Microsoft Sans Serif"/>
        </w:rPr>
        <w:fldChar w:fldCharType="begin"/>
      </w:r>
      <w:r w:rsidRPr="00572154">
        <w:rPr>
          <w:rFonts w:ascii="Microsoft Sans Serif" w:hAnsi="Microsoft Sans Serif" w:cs="Microsoft Sans Serif"/>
        </w:rPr>
        <w:instrText xml:space="preserve"> HYPERLINK "https://www.piranirisk.com/es/soluciones/pirani-riskment-suite?hsLang=es" \t "_blank" </w:instrText>
      </w:r>
      <w:r w:rsidRPr="00572154">
        <w:rPr>
          <w:rFonts w:ascii="Microsoft Sans Serif" w:hAnsi="Microsoft Sans Serif" w:cs="Microsoft Sans Serif"/>
        </w:rPr>
        <w:fldChar w:fldCharType="separate"/>
      </w:r>
      <w:r w:rsidRPr="00572154">
        <w:rPr>
          <w:rStyle w:val="Hipervnculo"/>
          <w:rFonts w:ascii="Microsoft Sans Serif" w:eastAsiaTheme="majorEastAsia" w:hAnsi="Microsoft Sans Serif" w:cs="Microsoft Sans Serif"/>
          <w:b/>
          <w:bCs/>
        </w:rPr>
        <w:t>Pirani</w:t>
      </w:r>
      <w:proofErr w:type="spellEnd"/>
      <w:r w:rsidRPr="00572154">
        <w:rPr>
          <w:rStyle w:val="Hipervnculo"/>
          <w:rFonts w:ascii="Microsoft Sans Serif" w:eastAsiaTheme="majorEastAsia" w:hAnsi="Microsoft Sans Serif" w:cs="Microsoft Sans Serif"/>
          <w:b/>
          <w:bCs/>
        </w:rPr>
        <w:t> </w:t>
      </w:r>
      <w:r w:rsidRPr="00572154">
        <w:rPr>
          <w:rFonts w:ascii="Microsoft Sans Serif" w:hAnsi="Microsoft Sans Serif" w:cs="Microsoft Sans Serif"/>
        </w:rPr>
        <w:fldChar w:fldCharType="end"/>
      </w:r>
      <w:r w:rsidRPr="00572154">
        <w:rPr>
          <w:rFonts w:ascii="Microsoft Sans Serif" w:hAnsi="Microsoft Sans Serif" w:cs="Microsoft Sans Serif"/>
        </w:rPr>
        <w:t>te permitirá identificar, medir, controlar y monitorear más fácilmente las operaciones sospechosas para prevenir su materialización o mitigar su impacto en caso de que ocurran. </w:t>
      </w:r>
    </w:p>
    <w:p w:rsidR="00572154" w:rsidRPr="00572154" w:rsidRDefault="00572154" w:rsidP="00572154">
      <w:pPr>
        <w:pStyle w:val="NormalWeb"/>
        <w:spacing w:before="0" w:after="0"/>
        <w:jc w:val="both"/>
        <w:rPr>
          <w:rFonts w:ascii="Microsoft Sans Serif" w:hAnsi="Microsoft Sans Serif" w:cs="Microsoft Sans Serif"/>
        </w:rPr>
      </w:pPr>
      <w:hyperlink r:id="rId9" w:tgtFrame="_blank" w:history="1">
        <w:r w:rsidRPr="00572154">
          <w:rPr>
            <w:rStyle w:val="Hipervnculo"/>
            <w:rFonts w:ascii="Microsoft Sans Serif" w:eastAsiaTheme="majorEastAsia" w:hAnsi="Microsoft Sans Serif" w:cs="Microsoft Sans Serif"/>
            <w:color w:val="FFFFFF"/>
          </w:rPr>
          <w:t>Empieza gratis a gestionar los riesgos</w:t>
        </w:r>
      </w:hyperlink>
    </w:p>
    <w:p w:rsidR="00572154" w:rsidRPr="00572154" w:rsidRDefault="00572154" w:rsidP="00572154">
      <w:pPr>
        <w:pStyle w:val="NormalWeb"/>
        <w:jc w:val="both"/>
        <w:rPr>
          <w:rFonts w:ascii="Microsoft Sans Serif" w:hAnsi="Microsoft Sans Serif" w:cs="Microsoft Sans Serif"/>
        </w:rPr>
      </w:pPr>
    </w:p>
    <w:p w:rsidR="0061404E" w:rsidRPr="00572154" w:rsidRDefault="0061404E" w:rsidP="00572154">
      <w:pPr>
        <w:jc w:val="both"/>
        <w:rPr>
          <w:rFonts w:ascii="Microsoft Sans Serif" w:hAnsi="Microsoft Sans Serif" w:cs="Microsoft Sans Serif"/>
          <w:sz w:val="24"/>
          <w:szCs w:val="24"/>
        </w:rPr>
      </w:pPr>
    </w:p>
    <w:sectPr w:rsidR="0061404E" w:rsidRPr="005721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40F09"/>
    <w:multiLevelType w:val="multilevel"/>
    <w:tmpl w:val="E3F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A8239D"/>
    <w:multiLevelType w:val="multilevel"/>
    <w:tmpl w:val="008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154"/>
    <w:rsid w:val="00572154"/>
    <w:rsid w:val="006140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8E1FA"/>
  <w15:chartTrackingRefBased/>
  <w15:docId w15:val="{B172567E-A7F2-47F8-9AAA-B162E718B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5721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5721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5721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2154"/>
    <w:rPr>
      <w:rFonts w:ascii="Times New Roman" w:eastAsia="Times New Roman" w:hAnsi="Times New Roman" w:cs="Times New Roman"/>
      <w:b/>
      <w:bCs/>
      <w:kern w:val="36"/>
      <w:sz w:val="48"/>
      <w:szCs w:val="48"/>
      <w:lang w:eastAsia="es-ES"/>
    </w:rPr>
  </w:style>
  <w:style w:type="character" w:customStyle="1" w:styleId="hscoswrapper">
    <w:name w:val="hs_cos_wrapper"/>
    <w:basedOn w:val="Fuentedeprrafopredeter"/>
    <w:rsid w:val="00572154"/>
  </w:style>
  <w:style w:type="paragraph" w:styleId="NormalWeb">
    <w:name w:val="Normal (Web)"/>
    <w:basedOn w:val="Normal"/>
    <w:uiPriority w:val="99"/>
    <w:semiHidden/>
    <w:unhideWhenUsed/>
    <w:rsid w:val="0057215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572154"/>
    <w:rPr>
      <w:color w:val="0000FF"/>
      <w:u w:val="single"/>
    </w:rPr>
  </w:style>
  <w:style w:type="character" w:customStyle="1" w:styleId="Ttulo2Car">
    <w:name w:val="Título 2 Car"/>
    <w:basedOn w:val="Fuentedeprrafopredeter"/>
    <w:link w:val="Ttulo2"/>
    <w:uiPriority w:val="9"/>
    <w:semiHidden/>
    <w:rsid w:val="00572154"/>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572154"/>
    <w:rPr>
      <w:rFonts w:asciiTheme="majorHAnsi" w:eastAsiaTheme="majorEastAsia" w:hAnsiTheme="majorHAnsi" w:cstheme="majorBidi"/>
      <w:color w:val="1F4D78" w:themeColor="accent1" w:themeShade="7F"/>
      <w:sz w:val="24"/>
      <w:szCs w:val="24"/>
    </w:rPr>
  </w:style>
  <w:style w:type="character" w:styleId="Textoennegrita">
    <w:name w:val="Strong"/>
    <w:basedOn w:val="Fuentedeprrafopredeter"/>
    <w:uiPriority w:val="22"/>
    <w:qFormat/>
    <w:rsid w:val="00572154"/>
    <w:rPr>
      <w:b/>
      <w:bCs/>
    </w:rPr>
  </w:style>
  <w:style w:type="character" w:customStyle="1" w:styleId="hs-cta-node">
    <w:name w:val="hs-cta-node"/>
    <w:basedOn w:val="Fuentedeprrafopredeter"/>
    <w:rsid w:val="00572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051137">
      <w:bodyDiv w:val="1"/>
      <w:marLeft w:val="0"/>
      <w:marRight w:val="0"/>
      <w:marTop w:val="0"/>
      <w:marBottom w:val="0"/>
      <w:divBdr>
        <w:top w:val="none" w:sz="0" w:space="0" w:color="auto"/>
        <w:left w:val="none" w:sz="0" w:space="0" w:color="auto"/>
        <w:bottom w:val="none" w:sz="0" w:space="0" w:color="auto"/>
        <w:right w:val="none" w:sz="0" w:space="0" w:color="auto"/>
      </w:divBdr>
    </w:div>
    <w:div w:id="671640383">
      <w:bodyDiv w:val="1"/>
      <w:marLeft w:val="0"/>
      <w:marRight w:val="0"/>
      <w:marTop w:val="0"/>
      <w:marBottom w:val="0"/>
      <w:divBdr>
        <w:top w:val="none" w:sz="0" w:space="0" w:color="auto"/>
        <w:left w:val="none" w:sz="0" w:space="0" w:color="auto"/>
        <w:bottom w:val="none" w:sz="0" w:space="0" w:color="auto"/>
        <w:right w:val="none" w:sz="0" w:space="0" w:color="auto"/>
      </w:divBdr>
      <w:divsChild>
        <w:div w:id="1026977300">
          <w:marLeft w:val="0"/>
          <w:marRight w:val="0"/>
          <w:marTop w:val="0"/>
          <w:marBottom w:val="0"/>
          <w:divBdr>
            <w:top w:val="none" w:sz="0" w:space="0" w:color="auto"/>
            <w:left w:val="none" w:sz="0" w:space="0" w:color="auto"/>
            <w:bottom w:val="none" w:sz="0" w:space="0" w:color="auto"/>
            <w:right w:val="none" w:sz="0" w:space="0" w:color="auto"/>
          </w:divBdr>
        </w:div>
      </w:divsChild>
    </w:div>
    <w:div w:id="213058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iranirisk.com/es/blog/mejores-practicas-para-gestionar-operaciones-inusuales?hsLang=es" TargetMode="External"/><Relationship Id="rId3" Type="http://schemas.openxmlformats.org/officeDocument/2006/relationships/settings" Target="settings.xml"/><Relationship Id="rId7" Type="http://schemas.openxmlformats.org/officeDocument/2006/relationships/hyperlink" Target="https://www.piranirisk.com/es/blog/que-es-kyc-o-conozca-a-su-cliente?hsLan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iranirisk.com/es/blog/como-identificar-operaciones-inusuales-o-sospechosas?hsLang=es" TargetMode="External"/><Relationship Id="rId11" Type="http://schemas.openxmlformats.org/officeDocument/2006/relationships/theme" Target="theme/theme1.xml"/><Relationship Id="rId5" Type="http://schemas.openxmlformats.org/officeDocument/2006/relationships/hyperlink" Target="https://www.piranirisk.com/es/blog/author/juan-pablo-call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iranirisk.com/cs/c/?cta_guid=5a778dc4-293e-4e1b-a7ec-1e0aefc8b13c&amp;signature=AAH58kHB0RTty5qRK45Sf5Mq4hUKW70hBA&amp;pageId=35768980681&amp;placement_guid=e40b6fae-dac0-4a0c-9ba9-ca9f9567e369&amp;click=cb6649d3-f194-49a6-8e7c-7c6f8e3b33c6&amp;hsutk=50253963d68de033ca597c465acc695b&amp;canon=https%3A%2F%2Fwww.piranirisk.com%2Fes%2Fblog%2F3-herramientas-para-monitorear-operaciones-inusuales&amp;utm_referrer=https%3A%2F%2Fwww.comunidadpirani.com%2F&amp;portal_id=3466329&amp;redirect_url=APefjpHdbmClHcGamRX2MJ25xdkAo6g9TEbl7iKVpLD8TCAqMgaJlXOMPD0mcg3wgv4CeJkhj4igOIgGthnTy8NZYmPCp-ptEezS-ko2M0iT2yDDKgcL-aRR8Bnz1ZSUCcSHRCZI44qjZrXcHbIjg3Xx8Cuw59YIXKP8TkantcSte-e94FzqmQX4-IXQ98q5ktarLCghwNMnH-Z9OH_wXeZS5EmHVUfYBri6l0GyLm_LQ-54j93WoYU0qQgxJUt2iL0O9-4ayVsI2E8Ueo4MBc_MB8ONHxvU3Q&amp;__hstc=88059783.50253963d68de033ca597c465acc695b.1693247193299.1695394743168.1695650667212.22&amp;__hssc=88059783.12.1695650667212&amp;__hsfp=2536929683&amp;contentType=blog-pos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1076</Words>
  <Characters>5924</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operador</dc:creator>
  <cp:keywords/>
  <dc:description/>
  <cp:lastModifiedBy>operador</cp:lastModifiedBy>
  <cp:revision>1</cp:revision>
  <dcterms:created xsi:type="dcterms:W3CDTF">2023-09-25T14:26:00Z</dcterms:created>
  <dcterms:modified xsi:type="dcterms:W3CDTF">2023-09-25T14:29:00Z</dcterms:modified>
</cp:coreProperties>
</file>