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32E" w:rsidRPr="00C7332E" w:rsidRDefault="00C7332E" w:rsidP="00C7332E">
      <w:pPr>
        <w:spacing w:before="100" w:beforeAutospacing="1" w:after="100" w:afterAutospacing="1" w:line="240" w:lineRule="auto"/>
        <w:jc w:val="both"/>
        <w:outlineLvl w:val="0"/>
        <w:rPr>
          <w:rFonts w:ascii="Microsoft Sans Serif" w:eastAsia="Times New Roman" w:hAnsi="Microsoft Sans Serif" w:cs="Microsoft Sans Serif"/>
          <w:b/>
          <w:bCs/>
          <w:kern w:val="36"/>
          <w:lang w:eastAsia="es-ES"/>
        </w:rPr>
      </w:pPr>
      <w:bookmarkStart w:id="0" w:name="_GoBack"/>
      <w:bookmarkEnd w:id="0"/>
      <w:r w:rsidRPr="00C7332E">
        <w:rPr>
          <w:rFonts w:ascii="Microsoft Sans Serif" w:eastAsia="Times New Roman" w:hAnsi="Microsoft Sans Serif" w:cs="Microsoft Sans Serif"/>
          <w:b/>
          <w:bCs/>
          <w:kern w:val="36"/>
          <w:lang w:eastAsia="es-ES"/>
        </w:rPr>
        <w:t>https://www.piranirisk.com/es/blog/como-identificar-operaciones-inusuales-o-sospechosas</w:t>
      </w:r>
    </w:p>
    <w:p w:rsidR="00E11C87" w:rsidRPr="00E11C87" w:rsidRDefault="00E11C87" w:rsidP="00C7332E">
      <w:pPr>
        <w:spacing w:before="100" w:beforeAutospacing="1" w:after="100" w:afterAutospacing="1" w:line="240" w:lineRule="auto"/>
        <w:jc w:val="both"/>
        <w:outlineLvl w:val="0"/>
        <w:rPr>
          <w:rFonts w:ascii="Microsoft Sans Serif" w:eastAsia="Times New Roman" w:hAnsi="Microsoft Sans Serif" w:cs="Microsoft Sans Serif"/>
          <w:b/>
          <w:bCs/>
          <w:kern w:val="36"/>
          <w:sz w:val="48"/>
          <w:szCs w:val="48"/>
          <w:lang w:eastAsia="es-ES"/>
        </w:rPr>
      </w:pPr>
      <w:r w:rsidRPr="00C7332E">
        <w:rPr>
          <w:rFonts w:ascii="Microsoft Sans Serif" w:eastAsia="Times New Roman" w:hAnsi="Microsoft Sans Serif" w:cs="Microsoft Sans Serif"/>
          <w:b/>
          <w:bCs/>
          <w:kern w:val="36"/>
          <w:sz w:val="48"/>
          <w:szCs w:val="48"/>
          <w:lang w:eastAsia="es-ES"/>
        </w:rPr>
        <w:t>Cómo identificar operaciones inusuales o sospechosas</w:t>
      </w:r>
    </w:p>
    <w:p w:rsidR="00600D4A" w:rsidRPr="00600D4A" w:rsidRDefault="00600D4A"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600D4A">
        <w:rPr>
          <w:rFonts w:ascii="Microsoft Sans Serif" w:eastAsia="Times New Roman" w:hAnsi="Microsoft Sans Serif" w:cs="Microsoft Sans Serif"/>
          <w:sz w:val="30"/>
          <w:szCs w:val="30"/>
          <w:lang w:eastAsia="es-ES"/>
        </w:rPr>
        <w:t>Identificar operaciones sospechosas permite reconocer movimientos inusuales de un cliente. Conozca aquí cómo funciona el proceso y algunas señales de alerta. </w:t>
      </w:r>
    </w:p>
    <w:p w:rsidR="00600D4A" w:rsidRPr="00600D4A" w:rsidRDefault="00600D4A"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600D4A">
        <w:rPr>
          <w:rFonts w:ascii="Microsoft Sans Serif" w:eastAsia="Times New Roman" w:hAnsi="Microsoft Sans Serif" w:cs="Microsoft Sans Serif"/>
          <w:sz w:val="30"/>
          <w:szCs w:val="30"/>
          <w:lang w:eastAsia="es-ES"/>
        </w:rPr>
        <w:t xml:space="preserve">En la </w:t>
      </w:r>
      <w:hyperlink r:id="rId5" w:tgtFrame="_blank" w:history="1">
        <w:r w:rsidRPr="00C7332E">
          <w:rPr>
            <w:rFonts w:ascii="Microsoft Sans Serif" w:eastAsia="Times New Roman" w:hAnsi="Microsoft Sans Serif" w:cs="Microsoft Sans Serif"/>
            <w:b/>
            <w:bCs/>
            <w:color w:val="0000FF"/>
            <w:sz w:val="30"/>
            <w:szCs w:val="30"/>
            <w:u w:val="single"/>
            <w:lang w:eastAsia="es-ES"/>
          </w:rPr>
          <w:t>prevención de lavado de activos y de la financiación del terrorismo</w:t>
        </w:r>
      </w:hyperlink>
      <w:r w:rsidRPr="00600D4A">
        <w:rPr>
          <w:rFonts w:ascii="Microsoft Sans Serif" w:eastAsia="Times New Roman" w:hAnsi="Microsoft Sans Serif" w:cs="Microsoft Sans Serif"/>
          <w:sz w:val="30"/>
          <w:szCs w:val="30"/>
          <w:lang w:eastAsia="es-ES"/>
        </w:rPr>
        <w:t xml:space="preserve"> LAFT, es esencial reconocer todas las operaciones inusuales o sospechosas, es decir, aquellas transacciones o movimientos incompatibles con las actividades regulares de un cliente.</w:t>
      </w:r>
    </w:p>
    <w:p w:rsidR="00600D4A" w:rsidRPr="00600D4A" w:rsidRDefault="00600D4A"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600D4A">
        <w:rPr>
          <w:rFonts w:ascii="Microsoft Sans Serif" w:eastAsia="Times New Roman" w:hAnsi="Microsoft Sans Serif" w:cs="Microsoft Sans Serif"/>
          <w:sz w:val="30"/>
          <w:szCs w:val="30"/>
          <w:lang w:eastAsia="es-ES"/>
        </w:rPr>
        <w:t xml:space="preserve">El área de </w:t>
      </w:r>
      <w:hyperlink r:id="rId6" w:tgtFrame="_blank" w:history="1">
        <w:r w:rsidRPr="00C7332E">
          <w:rPr>
            <w:rFonts w:ascii="Microsoft Sans Serif" w:eastAsia="Times New Roman" w:hAnsi="Microsoft Sans Serif" w:cs="Microsoft Sans Serif"/>
            <w:b/>
            <w:bCs/>
            <w:color w:val="0000FF"/>
            <w:sz w:val="30"/>
            <w:szCs w:val="30"/>
            <w:u w:val="single"/>
            <w:lang w:eastAsia="es-ES"/>
          </w:rPr>
          <w:t>cumplimiento de los bancos</w:t>
        </w:r>
      </w:hyperlink>
      <w:r w:rsidRPr="00600D4A">
        <w:rPr>
          <w:rFonts w:ascii="Microsoft Sans Serif" w:eastAsia="Times New Roman" w:hAnsi="Microsoft Sans Serif" w:cs="Microsoft Sans Serif"/>
          <w:sz w:val="30"/>
          <w:szCs w:val="30"/>
          <w:lang w:eastAsia="es-ES"/>
        </w:rPr>
        <w:t xml:space="preserve"> es la responsable de monitorear todos los movimientos de los clientes para identificar aquellos que indiquen un posible lavado de dinero. Los procedimientos que se realicen deben señalar las transferencias que estén injustificadas o los movimientos sospechosos que emitan señales de alerta temprana.</w:t>
      </w:r>
    </w:p>
    <w:p w:rsidR="00600D4A" w:rsidRPr="00600D4A" w:rsidRDefault="00600D4A"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600D4A">
        <w:rPr>
          <w:rFonts w:ascii="Microsoft Sans Serif" w:eastAsia="Times New Roman" w:hAnsi="Microsoft Sans Serif" w:cs="Microsoft Sans Serif"/>
          <w:sz w:val="30"/>
          <w:szCs w:val="30"/>
          <w:lang w:eastAsia="es-ES"/>
        </w:rPr>
        <w:t xml:space="preserve">Un adecuado sistema de prevención de lavado de dinero debe detectar las operaciones sospechosas con base en el </w:t>
      </w:r>
      <w:hyperlink r:id="rId7" w:tgtFrame="_blank" w:history="1">
        <w:r w:rsidRPr="00C7332E">
          <w:rPr>
            <w:rFonts w:ascii="Microsoft Sans Serif" w:eastAsia="Times New Roman" w:hAnsi="Microsoft Sans Serif" w:cs="Microsoft Sans Serif"/>
            <w:b/>
            <w:bCs/>
            <w:color w:val="0000FF"/>
            <w:sz w:val="30"/>
            <w:szCs w:val="30"/>
            <w:u w:val="single"/>
            <w:lang w:eastAsia="es-ES"/>
          </w:rPr>
          <w:t>registro de clientes</w:t>
        </w:r>
      </w:hyperlink>
      <w:r w:rsidRPr="00600D4A">
        <w:rPr>
          <w:rFonts w:ascii="Microsoft Sans Serif" w:eastAsia="Times New Roman" w:hAnsi="Microsoft Sans Serif" w:cs="Microsoft Sans Serif"/>
          <w:sz w:val="30"/>
          <w:szCs w:val="30"/>
          <w:lang w:eastAsia="es-ES"/>
        </w:rPr>
        <w:t>, indicando si el cliente es una persona políticamente expuesta, si hubo un cambio atípico en el nombre del titular de la cuenta bancaria o si posee una cuenta en locales de frontera.</w:t>
      </w:r>
    </w:p>
    <w:p w:rsidR="00600D4A" w:rsidRPr="00600D4A" w:rsidRDefault="00600D4A"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600D4A">
        <w:rPr>
          <w:rFonts w:ascii="Microsoft Sans Serif" w:eastAsia="Times New Roman" w:hAnsi="Microsoft Sans Serif" w:cs="Microsoft Sans Serif"/>
          <w:sz w:val="30"/>
          <w:szCs w:val="30"/>
          <w:lang w:eastAsia="es-ES"/>
        </w:rPr>
        <w:t xml:space="preserve">Una vez </w:t>
      </w:r>
      <w:hyperlink r:id="rId8" w:tgtFrame="_blank" w:history="1">
        <w:r w:rsidRPr="00C7332E">
          <w:rPr>
            <w:rFonts w:ascii="Microsoft Sans Serif" w:eastAsia="Times New Roman" w:hAnsi="Microsoft Sans Serif" w:cs="Microsoft Sans Serif"/>
            <w:b/>
            <w:bCs/>
            <w:color w:val="0000FF"/>
            <w:sz w:val="30"/>
            <w:szCs w:val="30"/>
            <w:u w:val="single"/>
            <w:lang w:eastAsia="es-ES"/>
          </w:rPr>
          <w:t xml:space="preserve">generada la alerta, el oficial de cumplimiento </w:t>
        </w:r>
      </w:hyperlink>
      <w:r w:rsidRPr="00600D4A">
        <w:rPr>
          <w:rFonts w:ascii="Microsoft Sans Serif" w:eastAsia="Times New Roman" w:hAnsi="Microsoft Sans Serif" w:cs="Microsoft Sans Serif"/>
          <w:sz w:val="30"/>
          <w:szCs w:val="30"/>
          <w:lang w:eastAsia="es-ES"/>
        </w:rPr>
        <w:t xml:space="preserve">debe analizar más profundamente al cliente para confirmar la sospecha de blanqueo de capitales. El análisis consistirá en la verificación de documentos, movimientos y datos contrastados con la información del sistema. En este punto es útil emplear los datos recolectados en el proceso de </w:t>
      </w:r>
      <w:hyperlink r:id="rId9" w:tgtFrame="_blank" w:history="1">
        <w:proofErr w:type="spellStart"/>
        <w:r w:rsidRPr="00C7332E">
          <w:rPr>
            <w:rFonts w:ascii="Microsoft Sans Serif" w:eastAsia="Times New Roman" w:hAnsi="Microsoft Sans Serif" w:cs="Microsoft Sans Serif"/>
            <w:b/>
            <w:bCs/>
            <w:color w:val="0000FF"/>
            <w:sz w:val="30"/>
            <w:szCs w:val="30"/>
            <w:u w:val="single"/>
            <w:lang w:eastAsia="es-ES"/>
          </w:rPr>
          <w:t>conoce</w:t>
        </w:r>
        <w:proofErr w:type="spellEnd"/>
        <w:r w:rsidRPr="00C7332E">
          <w:rPr>
            <w:rFonts w:ascii="Microsoft Sans Serif" w:eastAsia="Times New Roman" w:hAnsi="Microsoft Sans Serif" w:cs="Microsoft Sans Serif"/>
            <w:b/>
            <w:bCs/>
            <w:color w:val="0000FF"/>
            <w:sz w:val="30"/>
            <w:szCs w:val="30"/>
            <w:u w:val="single"/>
            <w:lang w:eastAsia="es-ES"/>
          </w:rPr>
          <w:t xml:space="preserve"> a su cliente</w:t>
        </w:r>
      </w:hyperlink>
      <w:r w:rsidRPr="00600D4A">
        <w:rPr>
          <w:rFonts w:ascii="Microsoft Sans Serif" w:eastAsia="Times New Roman" w:hAnsi="Microsoft Sans Serif" w:cs="Microsoft Sans Serif"/>
          <w:b/>
          <w:bCs/>
          <w:sz w:val="30"/>
          <w:szCs w:val="30"/>
          <w:lang w:eastAsia="es-ES"/>
        </w:rPr>
        <w:t>.</w:t>
      </w:r>
    </w:p>
    <w:p w:rsidR="00600D4A" w:rsidRPr="00600D4A" w:rsidRDefault="00600D4A"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600D4A">
        <w:rPr>
          <w:rFonts w:ascii="Microsoft Sans Serif" w:eastAsia="Times New Roman" w:hAnsi="Microsoft Sans Serif" w:cs="Microsoft Sans Serif"/>
          <w:sz w:val="30"/>
          <w:szCs w:val="30"/>
          <w:lang w:eastAsia="es-ES"/>
        </w:rPr>
        <w:t>Después, deben tomarse diferentes</w:t>
      </w:r>
      <w:hyperlink r:id="rId10" w:tgtFrame="_blank" w:history="1">
        <w:r w:rsidRPr="00C7332E">
          <w:rPr>
            <w:rFonts w:ascii="Microsoft Sans Serif" w:eastAsia="Times New Roman" w:hAnsi="Microsoft Sans Serif" w:cs="Microsoft Sans Serif"/>
            <w:b/>
            <w:bCs/>
            <w:color w:val="0000FF"/>
            <w:sz w:val="30"/>
            <w:szCs w:val="30"/>
            <w:u w:val="single"/>
            <w:lang w:eastAsia="es-ES"/>
          </w:rPr>
          <w:t xml:space="preserve"> acciones para prevenir el riesgo: </w:t>
        </w:r>
      </w:hyperlink>
    </w:p>
    <w:p w:rsidR="00600D4A" w:rsidRPr="00600D4A" w:rsidRDefault="00600D4A" w:rsidP="00C7332E">
      <w:pPr>
        <w:numPr>
          <w:ilvl w:val="0"/>
          <w:numId w:val="1"/>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600D4A">
        <w:rPr>
          <w:rFonts w:ascii="Microsoft Sans Serif" w:eastAsia="Times New Roman" w:hAnsi="Microsoft Sans Serif" w:cs="Microsoft Sans Serif"/>
          <w:sz w:val="30"/>
          <w:szCs w:val="30"/>
          <w:lang w:eastAsia="es-ES"/>
        </w:rPr>
        <w:t>Exigir la actualización del registro.</w:t>
      </w:r>
    </w:p>
    <w:p w:rsidR="00600D4A" w:rsidRPr="00600D4A" w:rsidRDefault="00600D4A" w:rsidP="00C7332E">
      <w:pPr>
        <w:numPr>
          <w:ilvl w:val="0"/>
          <w:numId w:val="1"/>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600D4A">
        <w:rPr>
          <w:rFonts w:ascii="Microsoft Sans Serif" w:eastAsia="Times New Roman" w:hAnsi="Microsoft Sans Serif" w:cs="Microsoft Sans Serif"/>
          <w:sz w:val="30"/>
          <w:szCs w:val="30"/>
          <w:lang w:eastAsia="es-ES"/>
        </w:rPr>
        <w:t>Pedirle aclaraciones al asesor que abrió la cuenta.</w:t>
      </w:r>
    </w:p>
    <w:p w:rsidR="00600D4A" w:rsidRPr="00C7332E" w:rsidRDefault="00600D4A" w:rsidP="00C7332E">
      <w:pPr>
        <w:numPr>
          <w:ilvl w:val="0"/>
          <w:numId w:val="1"/>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600D4A">
        <w:rPr>
          <w:rFonts w:ascii="Microsoft Sans Serif" w:eastAsia="Times New Roman" w:hAnsi="Microsoft Sans Serif" w:cs="Microsoft Sans Serif"/>
          <w:sz w:val="30"/>
          <w:szCs w:val="30"/>
          <w:lang w:eastAsia="es-ES"/>
        </w:rPr>
        <w:lastRenderedPageBreak/>
        <w:t>Analizar posibles inconsistencias internas en cuanto al movimiento o al archivo de la información.</w:t>
      </w:r>
    </w:p>
    <w:p w:rsidR="00C7332E" w:rsidRPr="00C7332E" w:rsidRDefault="00C7332E"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 xml:space="preserve">A </w:t>
      </w:r>
      <w:proofErr w:type="gramStart"/>
      <w:r w:rsidRPr="00C7332E">
        <w:rPr>
          <w:rFonts w:ascii="Microsoft Sans Serif" w:eastAsia="Times New Roman" w:hAnsi="Microsoft Sans Serif" w:cs="Microsoft Sans Serif"/>
          <w:sz w:val="30"/>
          <w:szCs w:val="30"/>
          <w:lang w:eastAsia="es-ES"/>
        </w:rPr>
        <w:t>continuación</w:t>
      </w:r>
      <w:proofErr w:type="gramEnd"/>
      <w:r w:rsidRPr="00C7332E">
        <w:rPr>
          <w:rFonts w:ascii="Microsoft Sans Serif" w:eastAsia="Times New Roman" w:hAnsi="Microsoft Sans Serif" w:cs="Microsoft Sans Serif"/>
          <w:sz w:val="30"/>
          <w:szCs w:val="30"/>
          <w:lang w:eastAsia="es-ES"/>
        </w:rPr>
        <w:t xml:space="preserve"> le presentamos algunos </w:t>
      </w:r>
      <w:r w:rsidRPr="00C7332E">
        <w:rPr>
          <w:rFonts w:ascii="Microsoft Sans Serif" w:eastAsia="Times New Roman" w:hAnsi="Microsoft Sans Serif" w:cs="Microsoft Sans Serif"/>
          <w:b/>
          <w:bCs/>
          <w:sz w:val="30"/>
          <w:szCs w:val="30"/>
          <w:lang w:eastAsia="es-ES"/>
        </w:rPr>
        <w:t>ejemplos de operaciones inusuales</w:t>
      </w:r>
      <w:r w:rsidRPr="00C7332E">
        <w:rPr>
          <w:rFonts w:ascii="Microsoft Sans Serif" w:eastAsia="Times New Roman" w:hAnsi="Microsoft Sans Serif" w:cs="Microsoft Sans Serif"/>
          <w:sz w:val="30"/>
          <w:szCs w:val="30"/>
          <w:lang w:eastAsia="es-ES"/>
        </w:rPr>
        <w:t xml:space="preserve"> que pueden servir de indicio para reconocer un posible blanqueo de capitales:</w:t>
      </w:r>
    </w:p>
    <w:p w:rsidR="00C7332E" w:rsidRPr="00C7332E" w:rsidRDefault="00C7332E" w:rsidP="00C7332E">
      <w:pPr>
        <w:numPr>
          <w:ilvl w:val="0"/>
          <w:numId w:val="2"/>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Transacciones cuyos valores sean incompatibles con la ocupación profesional y la situación financiera declarada.</w:t>
      </w:r>
    </w:p>
    <w:p w:rsidR="00C7332E" w:rsidRPr="00C7332E" w:rsidRDefault="00C7332E" w:rsidP="00C7332E">
      <w:pPr>
        <w:numPr>
          <w:ilvl w:val="0"/>
          <w:numId w:val="2"/>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Movimientos inesperados en las operaciones y en el manejo de las cuentas.</w:t>
      </w:r>
    </w:p>
    <w:p w:rsidR="00C7332E" w:rsidRPr="00C7332E" w:rsidRDefault="00C7332E" w:rsidP="00C7332E">
      <w:pPr>
        <w:numPr>
          <w:ilvl w:val="0"/>
          <w:numId w:val="2"/>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Operaciones que demuestren una oscilación significativa en relación con el volumen o la frecuencia de negocios del cliente.</w:t>
      </w:r>
    </w:p>
    <w:p w:rsidR="00C7332E" w:rsidRPr="00C7332E" w:rsidRDefault="00C7332E" w:rsidP="00C7332E">
      <w:pPr>
        <w:numPr>
          <w:ilvl w:val="0"/>
          <w:numId w:val="2"/>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Depósitos y transferencias pequeños que de inmediato se transfieren a cuentas de otros países o regiones.</w:t>
      </w:r>
    </w:p>
    <w:p w:rsidR="00C7332E" w:rsidRPr="00C7332E" w:rsidRDefault="00C7332E" w:rsidP="00C7332E">
      <w:pPr>
        <w:numPr>
          <w:ilvl w:val="0"/>
          <w:numId w:val="2"/>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Operaciones que evidencian un cambio repentino y objetivamente injustificado en comparación con el histórico del cliente.</w:t>
      </w:r>
    </w:p>
    <w:p w:rsidR="00C7332E" w:rsidRPr="00C7332E" w:rsidRDefault="00C7332E" w:rsidP="00C7332E">
      <w:pPr>
        <w:numPr>
          <w:ilvl w:val="0"/>
          <w:numId w:val="2"/>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Operaciones cuyo grado de complejidad y de riesgo sea incompatible con la cualificación técnica del cliente.</w:t>
      </w:r>
    </w:p>
    <w:p w:rsidR="00C7332E" w:rsidRPr="00C7332E" w:rsidRDefault="00C7332E" w:rsidP="00C7332E">
      <w:pPr>
        <w:spacing w:before="100" w:beforeAutospacing="1" w:after="100" w:afterAutospacing="1" w:line="240" w:lineRule="auto"/>
        <w:jc w:val="both"/>
        <w:rPr>
          <w:rFonts w:ascii="Microsoft Sans Serif" w:eastAsia="Times New Roman" w:hAnsi="Microsoft Sans Serif" w:cs="Microsoft Sans Serif"/>
          <w:b/>
          <w:bCs/>
          <w:sz w:val="24"/>
          <w:szCs w:val="24"/>
          <w:lang w:eastAsia="es-ES"/>
        </w:rPr>
      </w:pPr>
      <w:r w:rsidRPr="00C7332E">
        <w:rPr>
          <w:rFonts w:ascii="Microsoft Sans Serif" w:eastAsia="Times New Roman" w:hAnsi="Microsoft Sans Serif" w:cs="Microsoft Sans Serif"/>
          <w:b/>
          <w:bCs/>
          <w:sz w:val="30"/>
          <w:szCs w:val="30"/>
          <w:lang w:eastAsia="es-ES"/>
        </w:rPr>
        <w:t>Además, también pueden ser consideradas como indicios de lavado de activos las siguientes prácticas:</w:t>
      </w:r>
    </w:p>
    <w:p w:rsidR="00C7332E" w:rsidRPr="00C7332E" w:rsidRDefault="00C7332E" w:rsidP="00C7332E">
      <w:pPr>
        <w:numPr>
          <w:ilvl w:val="0"/>
          <w:numId w:val="3"/>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Negarse a facilitar información necesaria para actualizar los datos de la cuenta.</w:t>
      </w:r>
    </w:p>
    <w:p w:rsidR="00C7332E" w:rsidRPr="00C7332E" w:rsidRDefault="00C7332E" w:rsidP="00C7332E">
      <w:pPr>
        <w:numPr>
          <w:ilvl w:val="0"/>
          <w:numId w:val="3"/>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Declarar diversas cuentas bancarias o modificarlas constantemente.</w:t>
      </w:r>
    </w:p>
    <w:p w:rsidR="00C7332E" w:rsidRPr="00C7332E" w:rsidRDefault="00C7332E" w:rsidP="00C7332E">
      <w:pPr>
        <w:numPr>
          <w:ilvl w:val="0"/>
          <w:numId w:val="3"/>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Solicitar, coaccionar o sobornar a un funcionario para que modifique el histórico o el registro de una transacción.</w:t>
      </w:r>
    </w:p>
    <w:p w:rsidR="00C7332E" w:rsidRPr="00C7332E" w:rsidRDefault="00C7332E" w:rsidP="00C7332E">
      <w:pPr>
        <w:numPr>
          <w:ilvl w:val="0"/>
          <w:numId w:val="3"/>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Cuentas sin referencias claras: dirección, documento de identidad, soportes laborales y financieros, etc.</w:t>
      </w:r>
    </w:p>
    <w:p w:rsidR="00C7332E" w:rsidRPr="00C7332E" w:rsidRDefault="00C7332E"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Con base en lo anterior, todos los funcionarios, prestadores de servicios y socios deben reportar los casos de sospecha de lavado de dinero al oficial de cumplimiento para que se haga la pertinente averiguación de datos.</w:t>
      </w:r>
    </w:p>
    <w:p w:rsidR="00C7332E" w:rsidRPr="00C7332E" w:rsidRDefault="00C7332E"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 xml:space="preserve">Para evitar que esto suceda, existen </w:t>
      </w:r>
      <w:hyperlink r:id="rId11" w:tgtFrame="_blank" w:history="1">
        <w:r w:rsidRPr="00C7332E">
          <w:rPr>
            <w:rFonts w:ascii="Microsoft Sans Serif" w:eastAsia="Times New Roman" w:hAnsi="Microsoft Sans Serif" w:cs="Microsoft Sans Serif"/>
            <w:color w:val="0000FF"/>
            <w:sz w:val="30"/>
            <w:szCs w:val="30"/>
            <w:u w:val="single"/>
            <w:lang w:eastAsia="es-ES"/>
          </w:rPr>
          <w:t>buenas prácticas para gestionar operaciones inusuales</w:t>
        </w:r>
      </w:hyperlink>
      <w:r w:rsidRPr="00C7332E">
        <w:rPr>
          <w:rFonts w:ascii="Microsoft Sans Serif" w:eastAsia="Times New Roman" w:hAnsi="Microsoft Sans Serif" w:cs="Microsoft Sans Serif"/>
          <w:sz w:val="30"/>
          <w:szCs w:val="30"/>
          <w:lang w:eastAsia="es-ES"/>
        </w:rPr>
        <w:t xml:space="preserve">, como actualizar información, realizar segmentación de clientes y determinar señales de alerta. </w:t>
      </w:r>
    </w:p>
    <w:p w:rsidR="00C7332E" w:rsidRPr="00C7332E" w:rsidRDefault="00C7332E"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lastRenderedPageBreak/>
        <w:t xml:space="preserve">También es importante contar con un software de gestión de riesgos como </w:t>
      </w:r>
      <w:proofErr w:type="spellStart"/>
      <w:r w:rsidRPr="00C7332E">
        <w:rPr>
          <w:rFonts w:ascii="Microsoft Sans Serif" w:eastAsia="Times New Roman" w:hAnsi="Microsoft Sans Serif" w:cs="Microsoft Sans Serif"/>
          <w:b/>
          <w:bCs/>
          <w:sz w:val="30"/>
          <w:szCs w:val="30"/>
          <w:lang w:eastAsia="es-ES"/>
        </w:rPr>
        <w:t>Pirani</w:t>
      </w:r>
      <w:proofErr w:type="spellEnd"/>
      <w:r w:rsidRPr="00C7332E">
        <w:rPr>
          <w:rFonts w:ascii="Microsoft Sans Serif" w:eastAsia="Times New Roman" w:hAnsi="Microsoft Sans Serif" w:cs="Microsoft Sans Serif"/>
          <w:b/>
          <w:bCs/>
          <w:sz w:val="30"/>
          <w:szCs w:val="30"/>
          <w:lang w:eastAsia="es-ES"/>
        </w:rPr>
        <w:t xml:space="preserve"> </w:t>
      </w:r>
      <w:proofErr w:type="spellStart"/>
      <w:r w:rsidRPr="00C7332E">
        <w:rPr>
          <w:rFonts w:ascii="Microsoft Sans Serif" w:eastAsia="Times New Roman" w:hAnsi="Microsoft Sans Serif" w:cs="Microsoft Sans Serif"/>
          <w:b/>
          <w:bCs/>
          <w:sz w:val="30"/>
          <w:szCs w:val="30"/>
          <w:lang w:eastAsia="es-ES"/>
        </w:rPr>
        <w:t>Risk</w:t>
      </w:r>
      <w:proofErr w:type="spellEnd"/>
      <w:r w:rsidRPr="00C7332E">
        <w:rPr>
          <w:rFonts w:ascii="Microsoft Sans Serif" w:eastAsia="Times New Roman" w:hAnsi="Microsoft Sans Serif" w:cs="Microsoft Sans Serif"/>
          <w:sz w:val="30"/>
          <w:szCs w:val="30"/>
          <w:lang w:eastAsia="es-ES"/>
        </w:rPr>
        <w:t> donde puedes a identificar, evaluar, controlar y monitorear más fácil los riesgos a los que están expuestas las empresas.</w:t>
      </w:r>
    </w:p>
    <w:p w:rsidR="00C7332E" w:rsidRPr="00600D4A" w:rsidRDefault="00C7332E" w:rsidP="00C7332E">
      <w:pPr>
        <w:spacing w:before="100" w:beforeAutospacing="1" w:after="100" w:afterAutospacing="1" w:line="240" w:lineRule="auto"/>
        <w:ind w:left="360"/>
        <w:jc w:val="both"/>
        <w:rPr>
          <w:rFonts w:ascii="Microsoft Sans Serif" w:eastAsia="Times New Roman" w:hAnsi="Microsoft Sans Serif" w:cs="Microsoft Sans Serif"/>
          <w:sz w:val="24"/>
          <w:szCs w:val="24"/>
          <w:lang w:eastAsia="es-ES"/>
        </w:rPr>
      </w:pPr>
    </w:p>
    <w:p w:rsidR="00600D4A" w:rsidRPr="00600D4A" w:rsidRDefault="00600D4A"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600D4A">
        <w:rPr>
          <w:rFonts w:ascii="Microsoft Sans Serif" w:eastAsia="Times New Roman" w:hAnsi="Microsoft Sans Serif" w:cs="Microsoft Sans Serif"/>
          <w:sz w:val="30"/>
          <w:szCs w:val="30"/>
          <w:lang w:eastAsia="es-ES"/>
        </w:rPr>
        <w:t xml:space="preserve">Si luego de haber hecho este análisis se confirma la sospecha, el oficial de cumplimiento deberá registrar el resultado en el </w:t>
      </w:r>
      <w:hyperlink r:id="rId12" w:tgtFrame="_blank" w:history="1">
        <w:r w:rsidRPr="00C7332E">
          <w:rPr>
            <w:rFonts w:ascii="Microsoft Sans Serif" w:eastAsia="Times New Roman" w:hAnsi="Microsoft Sans Serif" w:cs="Microsoft Sans Serif"/>
            <w:b/>
            <w:bCs/>
            <w:color w:val="0000FF"/>
            <w:sz w:val="30"/>
            <w:szCs w:val="30"/>
            <w:u w:val="single"/>
            <w:lang w:eastAsia="es-ES"/>
          </w:rPr>
          <w:t>histórico del usuario y enviar un reporte formal a la autoridad competente.</w:t>
        </w:r>
      </w:hyperlink>
    </w:p>
    <w:p w:rsidR="00C7332E" w:rsidRPr="00C7332E" w:rsidRDefault="00C7332E"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Recuerda que gestionar los riesgos de manera adecuada y consciente en tu empresa, ayuda a garantizar el cumplimiento de la normativa y a asegurar la continuidad, logrando la sostenibilidad de tu negocio.</w:t>
      </w:r>
    </w:p>
    <w:p w:rsidR="00C7332E" w:rsidRPr="00C7332E" w:rsidRDefault="00C7332E" w:rsidP="00C7332E">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C7332E">
        <w:rPr>
          <w:rFonts w:ascii="Microsoft Sans Serif" w:eastAsia="Times New Roman" w:hAnsi="Microsoft Sans Serif" w:cs="Microsoft Sans Serif"/>
          <w:sz w:val="30"/>
          <w:szCs w:val="30"/>
          <w:lang w:eastAsia="es-ES"/>
        </w:rPr>
        <w:t>¿Qué te pareció nuestro contenido sobre operaciones inusuales o sospechosas que se pueden presentar en una organización? Déjanos tus comentarios.</w:t>
      </w:r>
    </w:p>
    <w:p w:rsidR="0065596B" w:rsidRPr="00C7332E" w:rsidRDefault="0065596B" w:rsidP="00C7332E">
      <w:pPr>
        <w:jc w:val="both"/>
        <w:rPr>
          <w:rFonts w:ascii="Microsoft Sans Serif" w:hAnsi="Microsoft Sans Serif" w:cs="Microsoft Sans Serif"/>
        </w:rPr>
      </w:pPr>
    </w:p>
    <w:sectPr w:rsidR="0065596B" w:rsidRPr="00C733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icrosoft Sans Serif">
    <w:panose1 w:val="020B0604020202020204"/>
    <w:charset w:val="00"/>
    <w:family w:val="swiss"/>
    <w:pitch w:val="variable"/>
    <w:sig w:usb0="E1002AFF" w:usb1="C0000002" w:usb2="00000008"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01E81"/>
    <w:multiLevelType w:val="multilevel"/>
    <w:tmpl w:val="C0B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60B13"/>
    <w:multiLevelType w:val="multilevel"/>
    <w:tmpl w:val="0FE6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37678"/>
    <w:multiLevelType w:val="multilevel"/>
    <w:tmpl w:val="707E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C87"/>
    <w:rsid w:val="00310A53"/>
    <w:rsid w:val="00600D4A"/>
    <w:rsid w:val="0065596B"/>
    <w:rsid w:val="00C7332E"/>
    <w:rsid w:val="00E11C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0291AC-0E71-4A4A-839D-EDCFDF2B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E11C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1C87"/>
    <w:rPr>
      <w:rFonts w:ascii="Times New Roman" w:eastAsia="Times New Roman" w:hAnsi="Times New Roman" w:cs="Times New Roman"/>
      <w:b/>
      <w:bCs/>
      <w:kern w:val="36"/>
      <w:sz w:val="48"/>
      <w:szCs w:val="48"/>
      <w:lang w:eastAsia="es-ES"/>
    </w:rPr>
  </w:style>
  <w:style w:type="character" w:customStyle="1" w:styleId="hscoswrapper">
    <w:name w:val="hs_cos_wrapper"/>
    <w:basedOn w:val="Fuentedeprrafopredeter"/>
    <w:rsid w:val="00E11C87"/>
  </w:style>
  <w:style w:type="paragraph" w:styleId="NormalWeb">
    <w:name w:val="Normal (Web)"/>
    <w:basedOn w:val="Normal"/>
    <w:uiPriority w:val="99"/>
    <w:semiHidden/>
    <w:unhideWhenUsed/>
    <w:rsid w:val="00600D4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600D4A"/>
    <w:rPr>
      <w:color w:val="0000FF"/>
      <w:u w:val="single"/>
    </w:rPr>
  </w:style>
  <w:style w:type="character" w:styleId="Textoennegrita">
    <w:name w:val="Strong"/>
    <w:basedOn w:val="Fuentedeprrafopredeter"/>
    <w:uiPriority w:val="22"/>
    <w:qFormat/>
    <w:rsid w:val="00C733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925706">
      <w:bodyDiv w:val="1"/>
      <w:marLeft w:val="0"/>
      <w:marRight w:val="0"/>
      <w:marTop w:val="0"/>
      <w:marBottom w:val="0"/>
      <w:divBdr>
        <w:top w:val="none" w:sz="0" w:space="0" w:color="auto"/>
        <w:left w:val="none" w:sz="0" w:space="0" w:color="auto"/>
        <w:bottom w:val="none" w:sz="0" w:space="0" w:color="auto"/>
        <w:right w:val="none" w:sz="0" w:space="0" w:color="auto"/>
      </w:divBdr>
    </w:div>
    <w:div w:id="307436347">
      <w:bodyDiv w:val="1"/>
      <w:marLeft w:val="0"/>
      <w:marRight w:val="0"/>
      <w:marTop w:val="0"/>
      <w:marBottom w:val="0"/>
      <w:divBdr>
        <w:top w:val="none" w:sz="0" w:space="0" w:color="auto"/>
        <w:left w:val="none" w:sz="0" w:space="0" w:color="auto"/>
        <w:bottom w:val="none" w:sz="0" w:space="0" w:color="auto"/>
        <w:right w:val="none" w:sz="0" w:space="0" w:color="auto"/>
      </w:divBdr>
    </w:div>
    <w:div w:id="853149091">
      <w:bodyDiv w:val="1"/>
      <w:marLeft w:val="0"/>
      <w:marRight w:val="0"/>
      <w:marTop w:val="0"/>
      <w:marBottom w:val="0"/>
      <w:divBdr>
        <w:top w:val="none" w:sz="0" w:space="0" w:color="auto"/>
        <w:left w:val="none" w:sz="0" w:space="0" w:color="auto"/>
        <w:bottom w:val="none" w:sz="0" w:space="0" w:color="auto"/>
        <w:right w:val="none" w:sz="0" w:space="0" w:color="auto"/>
      </w:divBdr>
    </w:div>
    <w:div w:id="137967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iranirisk.com/es/blog/pasos-para-elaborar-una-matriz-de-riesgo-de-lavado-de-riesgos-y-financiacion-del-terrorismo?hsLang=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iranirisk.com/es/blog/aprenda-como-hacer-un-registro-de-clientes?hsLang=es" TargetMode="External"/><Relationship Id="rId12" Type="http://schemas.openxmlformats.org/officeDocument/2006/relationships/hyperlink" Target="https://www.piranirisk.com/es/blog/conozca-cuales-son-las-fases-que-se-implementan-en-sarlaft?hsLan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iranirisk.com/es/blog/argentina-expide-nuevas-regulaciones-del-sistema-laft?hsLang=es" TargetMode="External"/><Relationship Id="rId11" Type="http://schemas.openxmlformats.org/officeDocument/2006/relationships/hyperlink" Target="https://www.piranirisk.com/es/blog/mejores-practicas-para-gestionar-operaciones-inusuales?hsLang=es" TargetMode="External"/><Relationship Id="rId5" Type="http://schemas.openxmlformats.org/officeDocument/2006/relationships/hyperlink" Target="https://www.piranirisk.com/es/manual-prevencion-lavado-de-dinero?hsLang=es" TargetMode="External"/><Relationship Id="rId10" Type="http://schemas.openxmlformats.org/officeDocument/2006/relationships/hyperlink" Target="https://www.piranirisk.com/es/blog/cuales-son-los-metodos-del-lavado-de-activos?hsLang=es" TargetMode="External"/><Relationship Id="rId4" Type="http://schemas.openxmlformats.org/officeDocument/2006/relationships/webSettings" Target="webSettings.xml"/><Relationship Id="rId9" Type="http://schemas.openxmlformats.org/officeDocument/2006/relationships/hyperlink" Target="https://www.piranirisk.com/es/blog/que-es-kyc-o-conozca-a-su-cliente?hsLang=e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810</Words>
  <Characters>4455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operador</dc:creator>
  <cp:keywords/>
  <dc:description/>
  <cp:lastModifiedBy>operador</cp:lastModifiedBy>
  <cp:revision>2</cp:revision>
  <dcterms:created xsi:type="dcterms:W3CDTF">2023-09-18T14:14:00Z</dcterms:created>
  <dcterms:modified xsi:type="dcterms:W3CDTF">2023-09-18T14:14:00Z</dcterms:modified>
</cp:coreProperties>
</file>