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Citigroup Global Markets Europe Limited</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19,929,140.83</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20,000,000.00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16/05/24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14/05/24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17/06/24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4.0%</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99.645704</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19,929,140.83</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21159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21159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14/05/24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