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9A1723"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9A1723">
        <w:t>Form of Notification to Agent by Issuer</w:t>
      </w:r>
      <w:bookmarkEnd w:id="4"/>
      <w:bookmarkEnd w:id="5"/>
      <w:bookmarkEnd w:id="6"/>
    </w:p>
    <w:p w14:paraId="6EAA7870" w14:textId="77777777" w:rsidR="00A70727" w:rsidRPr="009A1723" w:rsidRDefault="00A70727" w:rsidP="00006D47">
      <w:pPr>
        <w:pStyle w:val="Body"/>
        <w:jc w:val="center"/>
        <w:rPr>
          <w:b/>
        </w:rPr>
      </w:pPr>
    </w:p>
    <w:p w14:paraId="1CDB4E3C" w14:textId="77777777" w:rsidR="00A70727" w:rsidRPr="009A1723" w:rsidRDefault="00A70727" w:rsidP="00006D47">
      <w:pPr>
        <w:pStyle w:val="Body"/>
      </w:pPr>
      <w:r w:rsidRPr="009A1723">
        <w:t>To:</w:t>
      </w:r>
      <w:r w:rsidRPr="009A1723">
        <w:rPr>
          <w:rFonts w:eastAsia="SimSun"/>
        </w:rPr>
        <w:tab/>
      </w:r>
      <w:r w:rsidRPr="009A1723">
        <w:rPr>
          <w:rFonts w:eastAsia="SimSun"/>
        </w:rPr>
        <w:tab/>
      </w:r>
      <w:r w:rsidRPr="009A1723">
        <w:t>Citibank, N.A., London Branch</w:t>
      </w:r>
    </w:p>
    <w:p w14:paraId="24551CDB" w14:textId="77777777" w:rsidR="00A70727" w:rsidRPr="009A1723" w:rsidRDefault="00A70727" w:rsidP="00006D47">
      <w:pPr>
        <w:pStyle w:val="Body"/>
        <w:ind w:left="680" w:firstLine="680"/>
      </w:pPr>
      <w:r w:rsidRPr="009A1723">
        <w:t>Citigroup Centre</w:t>
      </w:r>
    </w:p>
    <w:p w14:paraId="7040B4DA" w14:textId="77777777" w:rsidR="00A70727" w:rsidRPr="009A1723" w:rsidRDefault="00A70727" w:rsidP="00006D47">
      <w:pPr>
        <w:pStyle w:val="Body"/>
        <w:ind w:left="680" w:firstLine="680"/>
      </w:pPr>
      <w:r w:rsidRPr="009A1723">
        <w:t>Canada Square</w:t>
      </w:r>
    </w:p>
    <w:p w14:paraId="7D671158" w14:textId="77777777" w:rsidR="00A70727" w:rsidRPr="009A1723" w:rsidRDefault="00A70727" w:rsidP="00006D47">
      <w:pPr>
        <w:pStyle w:val="Body"/>
        <w:ind w:left="680" w:firstLine="680"/>
      </w:pPr>
      <w:r w:rsidRPr="009A1723">
        <w:t>Canary Wharf</w:t>
      </w:r>
    </w:p>
    <w:p w14:paraId="76114A70" w14:textId="77777777" w:rsidR="00A70727" w:rsidRPr="009A1723" w:rsidRDefault="00A70727" w:rsidP="00006D47">
      <w:pPr>
        <w:pStyle w:val="Body"/>
        <w:ind w:left="680" w:firstLine="680"/>
        <w:rPr>
          <w:lang w:val="it-IT"/>
        </w:rPr>
      </w:pPr>
      <w:r w:rsidRPr="009A1723">
        <w:rPr>
          <w:lang w:val="it-IT"/>
        </w:rPr>
        <w:t>London E14 5LB</w:t>
      </w:r>
    </w:p>
    <w:p w14:paraId="10619311" w14:textId="77777777" w:rsidR="00A70727" w:rsidRPr="009A1723" w:rsidRDefault="00A70727" w:rsidP="00006D47">
      <w:pPr>
        <w:pStyle w:val="Body"/>
        <w:rPr>
          <w:lang w:val="it-IT"/>
        </w:rPr>
      </w:pPr>
      <w:proofErr w:type="spellStart"/>
      <w:r w:rsidRPr="009A1723">
        <w:rPr>
          <w:lang w:val="it-IT"/>
        </w:rPr>
        <w:t>Attention</w:t>
      </w:r>
      <w:proofErr w:type="spellEnd"/>
      <w:r w:rsidRPr="009A1723">
        <w:rPr>
          <w:lang w:val="it-IT"/>
        </w:rPr>
        <w:t xml:space="preserve">: </w:t>
      </w:r>
      <w:r w:rsidRPr="009A1723">
        <w:rPr>
          <w:lang w:val="it-IT"/>
        </w:rPr>
        <w:tab/>
        <w:t>ecpissuance.uk@citi.com</w:t>
      </w:r>
    </w:p>
    <w:p w14:paraId="0A53A7B4" w14:textId="77777777" w:rsidR="00A70727" w:rsidRPr="009A1723" w:rsidRDefault="00A70727" w:rsidP="00006D47">
      <w:pPr>
        <w:pStyle w:val="Body"/>
      </w:pPr>
      <w:r w:rsidRPr="009A1723">
        <w:t>Contact:</w:t>
      </w:r>
      <w:r w:rsidRPr="009A1723">
        <w:tab/>
        <w:t>Agency &amp; Trust (the “</w:t>
      </w:r>
      <w:r w:rsidRPr="009A1723">
        <w:rPr>
          <w:b/>
          <w:bCs/>
        </w:rPr>
        <w:t>Agent</w:t>
      </w:r>
      <w:r w:rsidRPr="009A1723">
        <w:t>”)</w:t>
      </w:r>
    </w:p>
    <w:p w14:paraId="46556487" w14:textId="77777777" w:rsidR="00A70727" w:rsidRPr="009A1723" w:rsidRDefault="00A70727" w:rsidP="00006D47">
      <w:pPr>
        <w:pStyle w:val="Body3"/>
      </w:pPr>
    </w:p>
    <w:p w14:paraId="54FE7B77" w14:textId="77777777" w:rsidR="00A70727" w:rsidRPr="009A1723" w:rsidRDefault="00A70727" w:rsidP="00006D47">
      <w:pPr>
        <w:pStyle w:val="Body"/>
        <w:jc w:val="center"/>
        <w:rPr>
          <w:b/>
          <w:bCs/>
        </w:rPr>
      </w:pPr>
      <w:r w:rsidRPr="009A1723">
        <w:rPr>
          <w:b/>
          <w:bCs/>
        </w:rPr>
        <w:t xml:space="preserve">Eni S.p.A. </w:t>
      </w:r>
      <w:r w:rsidRPr="009A1723">
        <w:t>(the “</w:t>
      </w:r>
      <w:r w:rsidRPr="009A1723">
        <w:rPr>
          <w:b/>
          <w:bCs/>
        </w:rPr>
        <w:t>Issuer</w:t>
      </w:r>
      <w:r w:rsidRPr="009A1723">
        <w:t>”)</w:t>
      </w:r>
      <w:r w:rsidRPr="009A1723">
        <w:br/>
      </w:r>
      <w:r w:rsidRPr="009A1723">
        <w:br/>
      </w:r>
      <w:r w:rsidRPr="009A1723">
        <w:rPr>
          <w:b/>
          <w:bCs/>
        </w:rPr>
        <w:t>Euro 4,000,000,000</w:t>
      </w:r>
    </w:p>
    <w:p w14:paraId="41D357B3" w14:textId="77777777" w:rsidR="00A70727" w:rsidRPr="009A1723" w:rsidRDefault="00A70727" w:rsidP="00006D47">
      <w:pPr>
        <w:pStyle w:val="Body"/>
        <w:jc w:val="center"/>
      </w:pPr>
      <w:r w:rsidRPr="009A1723">
        <w:rPr>
          <w:b/>
          <w:bCs/>
        </w:rPr>
        <w:t xml:space="preserve">Euro-Commercial Paper Programme </w:t>
      </w:r>
      <w:r w:rsidRPr="009A1723">
        <w:t>(the “</w:t>
      </w:r>
      <w:r w:rsidRPr="009A1723">
        <w:rPr>
          <w:b/>
          <w:bCs/>
        </w:rPr>
        <w:t>Programme</w:t>
      </w:r>
      <w:r w:rsidRPr="009A1723">
        <w:t>”)</w:t>
      </w:r>
    </w:p>
    <w:p w14:paraId="63D85534" w14:textId="77777777" w:rsidR="00A70727" w:rsidRPr="009A1723" w:rsidRDefault="00A70727" w:rsidP="00006D47">
      <w:pPr>
        <w:pStyle w:val="Body"/>
      </w:pPr>
      <w:r w:rsidRPr="009A1723">
        <w:t>This notification is given by the undersigned Issuer to the Agent pursuant to Clause 5.3 of the agency agreement dated 1 March 2022 (as amended, supplemented and/or restated from time to time, the “</w:t>
      </w:r>
      <w:r w:rsidRPr="009A1723">
        <w:rPr>
          <w:b/>
        </w:rPr>
        <w:t>Agency Agreement</w:t>
      </w:r>
      <w:r w:rsidRPr="009A1723">
        <w:t xml:space="preserve">”) between, </w:t>
      </w:r>
      <w:r w:rsidRPr="009A1723">
        <w:rPr>
          <w:i/>
          <w:iCs/>
        </w:rPr>
        <w:t>inter alia</w:t>
      </w:r>
      <w:r w:rsidRPr="009A1723">
        <w:t>, the Issuer and the Agent relating to the Programme.</w:t>
      </w:r>
    </w:p>
    <w:p w14:paraId="7D498A4C" w14:textId="77777777" w:rsidR="00A70727" w:rsidRPr="009A1723" w:rsidRDefault="00A70727" w:rsidP="00006D47">
      <w:pPr>
        <w:pStyle w:val="Body"/>
      </w:pPr>
      <w:r w:rsidRPr="009A1723">
        <w:t>Terms defined in the Agency Agreement relating to the Programme have the same meanings herein.</w:t>
      </w:r>
    </w:p>
    <w:p w14:paraId="094B80B8" w14:textId="77777777" w:rsidR="00A70727" w:rsidRPr="009A1723" w:rsidRDefault="00A70727" w:rsidP="00006D47">
      <w:pPr>
        <w:pStyle w:val="Body"/>
      </w:pPr>
      <w:r w:rsidRPr="009A1723">
        <w:t xml:space="preserve">We hereby confirm our email instruction to prepare, complete, authenticate and issue </w:t>
      </w:r>
      <w:proofErr w:type="gramStart"/>
      <w:r w:rsidRPr="009A1723">
        <w:t>a</w:t>
      </w:r>
      <w:proofErr w:type="gramEnd"/>
      <w:r w:rsidRPr="009A1723">
        <w:t xml:space="preserve"> Eni Global Note (in accordance with the terms of the Agency Agreement) and give instructions to Euroclear and/or </w:t>
      </w:r>
      <w:proofErr w:type="spellStart"/>
      <w:r w:rsidRPr="009A1723">
        <w:t>Clearstream</w:t>
      </w:r>
      <w:proofErr w:type="spellEnd"/>
      <w:r w:rsidRPr="009A1723">
        <w:t>, Luxembourg in order for you to:</w:t>
      </w:r>
    </w:p>
    <w:p w14:paraId="3095D71B" w14:textId="5D7721DA" w:rsidR="00A70727" w:rsidRPr="009A1723" w:rsidRDefault="00A70727" w:rsidP="00A70727">
      <w:pPr>
        <w:pStyle w:val="UCAlpha1"/>
        <w:ind w:left="720" w:hanging="720"/>
      </w:pPr>
      <w:r w:rsidRPr="009A1723">
        <w:rPr>
          <w:rStyle w:val="FootnoteReference"/>
          <w:szCs w:val="22"/>
        </w:rPr>
        <w:footnoteReference w:customMarkFollows="1" w:id="1"/>
        <w:t>*</w:t>
      </w:r>
      <w:r w:rsidRPr="009A1723">
        <w:t xml:space="preserve">Credit account of </w:t>
      </w:r>
      <w:r w:rsidR="003B72E6" w:rsidRPr="009A1723">
        <w:rPr>
          <w:b/>
          <w:bCs/>
        </w:rPr>
        <w:t xml:space="preserve">Goldman Sachs International</w:t>
      </w:r>
      <w:r w:rsidR="00FA5CD4" w:rsidRPr="009A1723">
        <w:rPr>
          <w:b/>
          <w:bCs/>
        </w:rPr>
        <w:t xml:space="preserve"> </w:t>
      </w:r>
      <w:r w:rsidRPr="009A1723">
        <w:rPr>
          <w:b/>
          <w:bCs/>
        </w:rPr>
        <w:t>with Euroclear/</w:t>
      </w:r>
      <w:proofErr w:type="spellStart"/>
      <w:r w:rsidRPr="009A1723">
        <w:rPr>
          <w:b/>
          <w:bCs/>
        </w:rPr>
        <w:t>Clearstream</w:t>
      </w:r>
      <w:proofErr w:type="spellEnd"/>
      <w:r w:rsidRPr="009A1723">
        <w:rPr>
          <w:b/>
          <w:bCs/>
        </w:rPr>
        <w:t>, Luxembourg</w:t>
      </w:r>
      <w:r w:rsidRPr="009A1723">
        <w:rPr>
          <w:rStyle w:val="FootnoteReference"/>
          <w:szCs w:val="22"/>
        </w:rPr>
        <w:footnoteReference w:customMarkFollows="1" w:id="2"/>
        <w:t>**</w:t>
      </w:r>
      <w:r w:rsidRPr="009A1723">
        <w:t xml:space="preserve"> with the following Eni Notes against payment of</w:t>
      </w:r>
      <w:r w:rsidR="0002335B" w:rsidRPr="009A1723">
        <w:t xml:space="preserve"> </w:t>
      </w:r>
      <w:r w:rsidR="003B72E6" w:rsidRPr="009A1723">
        <w:t xml:space="preserve">EUR</w:t>
      </w:r>
      <w:r w:rsidR="0002335B" w:rsidRPr="009A1723">
        <w:t xml:space="preserve"> </w:t>
      </w:r>
      <w:r w:rsidR="003B72E6" w:rsidRPr="009A1723">
        <w:t xml:space="preserve">29,893,314.08</w:t>
      </w:r>
      <w:r w:rsidRPr="009A1723">
        <w:t>:</w:t>
      </w:r>
    </w:p>
    <w:tbl>
      <w:tblPr>
        <w:tblW w:w="5324" w:type="dxa"/>
        <w:tblInd w:w="3484" w:type="dxa"/>
        <w:tblLook w:val="01E0" w:firstRow="1" w:lastRow="1" w:firstColumn="1" w:lastColumn="1" w:noHBand="0" w:noVBand="0"/>
      </w:tblPr>
      <w:tblGrid>
        <w:gridCol w:w="2475"/>
        <w:gridCol w:w="2849"/>
      </w:tblGrid>
      <w:tr w:rsidR="002E5629" w:rsidRPr="009A1723" w14:paraId="7C6658B1" w14:textId="77777777" w:rsidTr="009C0323">
        <w:tc>
          <w:tcPr>
            <w:tcW w:w="236" w:type="dxa"/>
            <w:shd w:val="clear" w:color="auto" w:fill="auto"/>
          </w:tcPr>
          <w:p w14:paraId="7F69EC7D" w14:textId="77777777" w:rsidR="002E5629" w:rsidRPr="009A1723" w:rsidRDefault="002E5629" w:rsidP="002E5629">
            <w:pPr>
              <w:pStyle w:val="Table1"/>
              <w:numPr>
                <w:ilvl w:val="0"/>
                <w:numId w:val="0"/>
              </w:numPr>
              <w:ind w:left="680"/>
            </w:pPr>
          </w:p>
        </w:tc>
        <w:tc>
          <w:tcPr>
            <w:tcW w:w="5088" w:type="dxa"/>
            <w:shd w:val="clear" w:color="auto" w:fill="auto"/>
          </w:tcPr>
          <w:p w14:paraId="1DA274C5" w14:textId="77777777" w:rsidR="002E5629" w:rsidRPr="009A1723" w:rsidRDefault="002E5629" w:rsidP="00006D47">
            <w:pPr>
              <w:pStyle w:val="CellBody"/>
            </w:pPr>
          </w:p>
        </w:tc>
      </w:tr>
      <w:tr w:rsidR="002E5629" w:rsidRPr="009A1723" w14:paraId="31A47921" w14:textId="77777777" w:rsidTr="009C0323">
        <w:tc>
          <w:tcPr>
            <w:tcW w:w="236" w:type="dxa"/>
            <w:shd w:val="clear" w:color="auto" w:fill="auto"/>
          </w:tcPr>
          <w:p w14:paraId="7D65882A" w14:textId="77777777" w:rsidR="002E5629" w:rsidRPr="009A1723" w:rsidRDefault="002E5629" w:rsidP="00006D47">
            <w:pPr>
              <w:pStyle w:val="Table1"/>
            </w:pPr>
            <w:r w:rsidRPr="009A1723">
              <w:t>[Common Code:</w:t>
            </w:r>
          </w:p>
        </w:tc>
        <w:tc>
          <w:tcPr>
            <w:tcW w:w="5088" w:type="dxa"/>
            <w:shd w:val="clear" w:color="auto" w:fill="auto"/>
          </w:tcPr>
          <w:p w14:paraId="3B25BBDA"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38BAD591" w14:textId="77777777" w:rsidTr="009C0323">
        <w:tc>
          <w:tcPr>
            <w:tcW w:w="236" w:type="dxa"/>
            <w:shd w:val="clear" w:color="auto" w:fill="auto"/>
          </w:tcPr>
          <w:p w14:paraId="0DC7C627" w14:textId="77777777" w:rsidR="002E5629" w:rsidRPr="009A1723" w:rsidRDefault="002E5629" w:rsidP="00006D47">
            <w:pPr>
              <w:pStyle w:val="Table1"/>
            </w:pPr>
            <w:r w:rsidRPr="009A1723">
              <w:t xml:space="preserve">[ISIN: </w:t>
            </w:r>
          </w:p>
        </w:tc>
        <w:tc>
          <w:tcPr>
            <w:tcW w:w="5088" w:type="dxa"/>
            <w:shd w:val="clear" w:color="auto" w:fill="auto"/>
          </w:tcPr>
          <w:p w14:paraId="44096D81" w14:textId="77777777" w:rsidR="002E5629" w:rsidRPr="009A1723" w:rsidRDefault="002E5629" w:rsidP="00006D47">
            <w:pPr>
              <w:pStyle w:val="CellBody"/>
            </w:pPr>
            <w:r w:rsidRPr="009A1723">
              <w:t>[</w:t>
            </w:r>
            <w:r w:rsidRPr="009A1723">
              <w:rPr>
                <w:rFonts w:cs="Arial"/>
              </w:rPr>
              <w:t>●</w:t>
            </w:r>
            <w:r w:rsidRPr="009A1723">
              <w:t>]]</w:t>
            </w:r>
          </w:p>
        </w:tc>
      </w:tr>
      <w:tr w:rsidR="002E5629" w:rsidRPr="009A1723" w14:paraId="4959B7C7" w14:textId="77777777" w:rsidTr="009C0323">
        <w:tc>
          <w:tcPr>
            <w:tcW w:w="236" w:type="dxa"/>
            <w:shd w:val="clear" w:color="auto" w:fill="auto"/>
          </w:tcPr>
          <w:p w14:paraId="729FDE22" w14:textId="77777777" w:rsidR="002E5629" w:rsidRPr="009A1723" w:rsidRDefault="002E5629" w:rsidP="00006D47">
            <w:pPr>
              <w:pStyle w:val="Table1"/>
            </w:pPr>
            <w:r w:rsidRPr="009A1723">
              <w:t>Specified Currency:</w:t>
            </w:r>
          </w:p>
        </w:tc>
        <w:tc>
          <w:tcPr>
            <w:tcW w:w="5088" w:type="dxa"/>
            <w:shd w:val="clear" w:color="auto" w:fill="auto"/>
          </w:tcPr>
          <w:p w14:paraId="7A19C2F9" w14:textId="0DDAEDC3" w:rsidR="002E5629" w:rsidRPr="009A1723" w:rsidRDefault="003E40D4" w:rsidP="00006D47">
            <w:pPr>
              <w:pStyle w:val="CellBody"/>
            </w:pPr>
            <w:r w:rsidRPr="009A1723">
              <w:t xml:space="preserve">EUR</w:t>
            </w:r>
          </w:p>
        </w:tc>
      </w:tr>
      <w:tr w:rsidR="002E5629" w:rsidRPr="009A1723" w14:paraId="0FB4AFB3" w14:textId="77777777" w:rsidTr="009C0323">
        <w:tc>
          <w:tcPr>
            <w:tcW w:w="236" w:type="dxa"/>
            <w:shd w:val="clear" w:color="auto" w:fill="auto"/>
          </w:tcPr>
          <w:p w14:paraId="11EC27BC" w14:textId="77777777" w:rsidR="002E5629" w:rsidRPr="009A1723" w:rsidRDefault="002E5629" w:rsidP="00006D47">
            <w:pPr>
              <w:pStyle w:val="Table1"/>
            </w:pPr>
            <w:r w:rsidRPr="009A1723">
              <w:t>Principal Amount:</w:t>
            </w:r>
          </w:p>
        </w:tc>
        <w:tc>
          <w:tcPr>
            <w:tcW w:w="5088" w:type="dxa"/>
            <w:shd w:val="clear" w:color="auto" w:fill="auto"/>
          </w:tcPr>
          <w:p w14:paraId="2BBD13FE" w14:textId="14CE6E27" w:rsidR="002E5629" w:rsidRPr="009A1723" w:rsidRDefault="003E40D4" w:rsidP="00006D47">
            <w:pPr>
              <w:pStyle w:val="CellBody"/>
            </w:pPr>
            <w:r w:rsidRPr="009A1723">
              <w:t xml:space="preserve">30,000,000.00</w:t>
            </w:r>
          </w:p>
        </w:tc>
      </w:tr>
      <w:tr w:rsidR="002E5629" w:rsidRPr="009A1723" w14:paraId="60073EBB" w14:textId="77777777" w:rsidTr="009C0323">
        <w:tc>
          <w:tcPr>
            <w:tcW w:w="236" w:type="dxa"/>
            <w:shd w:val="clear" w:color="auto" w:fill="auto"/>
          </w:tcPr>
          <w:p w14:paraId="21C510E3" w14:textId="77777777" w:rsidR="002E5629" w:rsidRPr="009A1723" w:rsidRDefault="002E5629" w:rsidP="00006D47">
            <w:pPr>
              <w:pStyle w:val="Table1"/>
            </w:pPr>
            <w:r w:rsidRPr="009A1723">
              <w:t>Issue Date:</w:t>
            </w:r>
          </w:p>
        </w:tc>
        <w:tc>
          <w:tcPr>
            <w:tcW w:w="5088" w:type="dxa"/>
            <w:shd w:val="clear" w:color="auto" w:fill="auto"/>
          </w:tcPr>
          <w:p w14:paraId="2025AA69" w14:textId="212340B7" w:rsidR="002E5629" w:rsidRPr="009A1723" w:rsidRDefault="003E40D4" w:rsidP="00D15169">
            <w:pPr>
              <w:pStyle w:val="CellBody"/>
            </w:pPr>
            <w:r w:rsidRPr="009A1723">
              <w:t xml:space="preserve">02/05/24</w:t>
            </w:r>
          </w:p>
        </w:tc>
      </w:tr>
      <w:tr w:rsidR="002E5629" w:rsidRPr="009A1723" w14:paraId="704D3F30" w14:textId="77777777" w:rsidTr="009C0323">
        <w:tc>
          <w:tcPr>
            <w:tcW w:w="236" w:type="dxa"/>
            <w:shd w:val="clear" w:color="auto" w:fill="auto"/>
          </w:tcPr>
          <w:p w14:paraId="10FE7BCE" w14:textId="77777777" w:rsidR="002E5629" w:rsidRPr="009A1723" w:rsidRDefault="002E5629" w:rsidP="00006D47">
            <w:pPr>
              <w:pStyle w:val="Table1"/>
            </w:pPr>
            <w:r w:rsidRPr="009A1723">
              <w:t>Trade Date:</w:t>
            </w:r>
          </w:p>
        </w:tc>
        <w:tc>
          <w:tcPr>
            <w:tcW w:w="5088" w:type="dxa"/>
            <w:shd w:val="clear" w:color="auto" w:fill="auto"/>
          </w:tcPr>
          <w:p w14:paraId="0DE04895" w14:textId="07867893" w:rsidR="002E5629" w:rsidRPr="009A1723" w:rsidRDefault="003E40D4" w:rsidP="00D15169">
            <w:pPr>
              <w:pStyle w:val="CellBody"/>
            </w:pPr>
            <w:r w:rsidRPr="009A1723">
              <w:t xml:space="preserve">29/04/24</w:t>
            </w:r>
          </w:p>
        </w:tc>
      </w:tr>
      <w:tr w:rsidR="002E5629" w:rsidRPr="009A1723" w14:paraId="03A82B8C" w14:textId="77777777" w:rsidTr="009C0323">
        <w:tc>
          <w:tcPr>
            <w:tcW w:w="236" w:type="dxa"/>
            <w:shd w:val="clear" w:color="auto" w:fill="auto"/>
          </w:tcPr>
          <w:p w14:paraId="5E7E0414" w14:textId="77777777" w:rsidR="002E5629" w:rsidRPr="009A1723" w:rsidRDefault="002E5629" w:rsidP="00006D47">
            <w:pPr>
              <w:pStyle w:val="Table1"/>
            </w:pPr>
            <w:r w:rsidRPr="009A1723">
              <w:t xml:space="preserve">Denomination: </w:t>
            </w:r>
          </w:p>
        </w:tc>
        <w:tc>
          <w:tcPr>
            <w:tcW w:w="5088" w:type="dxa"/>
            <w:shd w:val="clear" w:color="auto" w:fill="auto"/>
          </w:tcPr>
          <w:p w14:paraId="236F65FC" w14:textId="4F1EACA7" w:rsidR="002E5629" w:rsidRPr="009A1723" w:rsidRDefault="008A5ADF" w:rsidP="00006D47">
            <w:pPr>
              <w:pStyle w:val="CellBody"/>
            </w:pPr>
            <w:r w:rsidRPr="009A1723">
              <w:t>500k</w:t>
            </w:r>
            <w:r w:rsidR="00CA3A57" w:rsidRPr="009A1723">
              <w:t>/1</w:t>
            </w:r>
          </w:p>
        </w:tc>
      </w:tr>
      <w:tr w:rsidR="002E5629" w:rsidRPr="009A1723" w14:paraId="27AF6D40" w14:textId="77777777" w:rsidTr="009C0323">
        <w:tc>
          <w:tcPr>
            <w:tcW w:w="236" w:type="dxa"/>
            <w:shd w:val="clear" w:color="auto" w:fill="auto"/>
          </w:tcPr>
          <w:p w14:paraId="659B59C5" w14:textId="77777777" w:rsidR="002E5629" w:rsidRPr="009A1723" w:rsidRDefault="002E5629" w:rsidP="00006D47">
            <w:pPr>
              <w:pStyle w:val="Table1"/>
            </w:pPr>
            <w:r w:rsidRPr="009A1723">
              <w:lastRenderedPageBreak/>
              <w:t>Interest Basis:</w:t>
            </w:r>
          </w:p>
        </w:tc>
        <w:tc>
          <w:tcPr>
            <w:tcW w:w="5088" w:type="dxa"/>
            <w:shd w:val="clear" w:color="auto" w:fill="auto"/>
          </w:tcPr>
          <w:p w14:paraId="13CFD873" w14:textId="77777777" w:rsidR="002E5629" w:rsidRPr="009A1723" w:rsidRDefault="002E5629" w:rsidP="004A5DF2">
            <w:pPr>
              <w:pStyle w:val="CellBody"/>
            </w:pPr>
            <w:r w:rsidRPr="009A1723">
              <w:t>Discount</w:t>
            </w:r>
          </w:p>
        </w:tc>
      </w:tr>
      <w:tr w:rsidR="002E5629" w:rsidRPr="009A1723" w14:paraId="53B11817" w14:textId="77777777" w:rsidTr="009C0323">
        <w:tc>
          <w:tcPr>
            <w:tcW w:w="236" w:type="dxa"/>
            <w:shd w:val="clear" w:color="auto" w:fill="auto"/>
          </w:tcPr>
          <w:p w14:paraId="0FFEEFF1" w14:textId="77777777" w:rsidR="002E5629" w:rsidRPr="009A1723" w:rsidRDefault="002E5629" w:rsidP="00006D47">
            <w:pPr>
              <w:pStyle w:val="Table1"/>
            </w:pPr>
            <w:r w:rsidRPr="009A1723">
              <w:t>Interest Rate (Fixed Rate Notes):</w:t>
            </w:r>
          </w:p>
        </w:tc>
        <w:tc>
          <w:tcPr>
            <w:tcW w:w="5088" w:type="dxa"/>
            <w:shd w:val="clear" w:color="auto" w:fill="auto"/>
          </w:tcPr>
          <w:p w14:paraId="4247B32A" w14:textId="77777777" w:rsidR="002E5629" w:rsidRPr="009A1723" w:rsidRDefault="00846036" w:rsidP="00846036">
            <w:pPr>
              <w:pStyle w:val="CellBody"/>
            </w:pPr>
            <w:r w:rsidRPr="009A1723">
              <w:t>N/A</w:t>
            </w:r>
          </w:p>
        </w:tc>
      </w:tr>
      <w:tr w:rsidR="002E5629" w:rsidRPr="009A1723" w14:paraId="7719F9F2" w14:textId="77777777" w:rsidTr="009C0323">
        <w:tc>
          <w:tcPr>
            <w:tcW w:w="236" w:type="dxa"/>
            <w:shd w:val="clear" w:color="auto" w:fill="auto"/>
          </w:tcPr>
          <w:p w14:paraId="4BF60F49" w14:textId="77777777" w:rsidR="002E5629" w:rsidRPr="009A1723" w:rsidRDefault="002E5629" w:rsidP="00006D47">
            <w:pPr>
              <w:pStyle w:val="Table1"/>
            </w:pPr>
            <w:r w:rsidRPr="009A1723">
              <w:t>Interest Payment Date(s) (other than Discount Notes):</w:t>
            </w:r>
          </w:p>
        </w:tc>
        <w:tc>
          <w:tcPr>
            <w:tcW w:w="5088" w:type="dxa"/>
            <w:shd w:val="clear" w:color="auto" w:fill="auto"/>
          </w:tcPr>
          <w:p w14:paraId="39B530B2" w14:textId="77777777" w:rsidR="002E5629" w:rsidRPr="009A1723" w:rsidRDefault="00846036" w:rsidP="00006D47">
            <w:pPr>
              <w:pStyle w:val="CellBody"/>
            </w:pPr>
            <w:r w:rsidRPr="009A1723">
              <w:t>N/A</w:t>
            </w:r>
          </w:p>
        </w:tc>
      </w:tr>
      <w:tr w:rsidR="002E5629" w:rsidRPr="009A1723" w14:paraId="424D3D72" w14:textId="77777777" w:rsidTr="009C0323">
        <w:tc>
          <w:tcPr>
            <w:tcW w:w="236" w:type="dxa"/>
            <w:shd w:val="clear" w:color="auto" w:fill="auto"/>
          </w:tcPr>
          <w:p w14:paraId="3A96BE96" w14:textId="77777777" w:rsidR="002E5629" w:rsidRPr="009A1723" w:rsidRDefault="002E5629" w:rsidP="00006D47">
            <w:pPr>
              <w:pStyle w:val="Table1"/>
            </w:pPr>
            <w:r w:rsidRPr="009A1723">
              <w:t xml:space="preserve">Day Count Fraction: </w:t>
            </w:r>
          </w:p>
        </w:tc>
        <w:tc>
          <w:tcPr>
            <w:tcW w:w="5088" w:type="dxa"/>
            <w:shd w:val="clear" w:color="auto" w:fill="auto"/>
          </w:tcPr>
          <w:p w14:paraId="441A5C21" w14:textId="77777777" w:rsidR="002E5629" w:rsidRPr="009A1723" w:rsidRDefault="00846036" w:rsidP="00006D47">
            <w:pPr>
              <w:pStyle w:val="CellBody"/>
            </w:pPr>
            <w:r w:rsidRPr="009A1723">
              <w:t>N/A</w:t>
            </w:r>
          </w:p>
        </w:tc>
      </w:tr>
      <w:tr w:rsidR="002E5629" w:rsidRPr="009A1723" w14:paraId="606471F2" w14:textId="77777777" w:rsidTr="009C0323">
        <w:tc>
          <w:tcPr>
            <w:tcW w:w="236" w:type="dxa"/>
            <w:shd w:val="clear" w:color="auto" w:fill="auto"/>
          </w:tcPr>
          <w:p w14:paraId="283B27FD" w14:textId="77777777" w:rsidR="002E5629" w:rsidRPr="009A1723" w:rsidRDefault="002E5629" w:rsidP="00223C84">
            <w:pPr>
              <w:pStyle w:val="Table1"/>
            </w:pPr>
            <w:r w:rsidRPr="009A1723">
              <w:t>Reference Rate (Floating Rate Notes):</w:t>
            </w:r>
          </w:p>
        </w:tc>
        <w:tc>
          <w:tcPr>
            <w:tcW w:w="5088" w:type="dxa"/>
            <w:shd w:val="clear" w:color="auto" w:fill="auto"/>
          </w:tcPr>
          <w:p w14:paraId="0079EC22" w14:textId="77777777" w:rsidR="002E5629" w:rsidRPr="009A1723" w:rsidRDefault="00846036" w:rsidP="00006D47">
            <w:pPr>
              <w:pStyle w:val="CellBody"/>
            </w:pPr>
            <w:r w:rsidRPr="009A1723">
              <w:t>N/A</w:t>
            </w:r>
          </w:p>
        </w:tc>
      </w:tr>
      <w:tr w:rsidR="002E5629" w:rsidRPr="009A1723" w14:paraId="64A9D3BF" w14:textId="77777777" w:rsidTr="009C0323">
        <w:tc>
          <w:tcPr>
            <w:tcW w:w="236" w:type="dxa"/>
            <w:shd w:val="clear" w:color="auto" w:fill="auto"/>
          </w:tcPr>
          <w:p w14:paraId="08744775" w14:textId="77777777" w:rsidR="002E5629" w:rsidRPr="009A1723" w:rsidRDefault="002E5629" w:rsidP="00223C84">
            <w:pPr>
              <w:pStyle w:val="Table1"/>
            </w:pPr>
            <w:r w:rsidRPr="009A1723">
              <w:t>Margin (Floating Rate Notes):</w:t>
            </w:r>
          </w:p>
        </w:tc>
        <w:tc>
          <w:tcPr>
            <w:tcW w:w="5088" w:type="dxa"/>
            <w:shd w:val="clear" w:color="auto" w:fill="auto"/>
          </w:tcPr>
          <w:p w14:paraId="6FE5F9B7" w14:textId="77777777" w:rsidR="002E5629" w:rsidRPr="009A1723" w:rsidRDefault="00846036" w:rsidP="00006D47">
            <w:pPr>
              <w:pStyle w:val="CellBody"/>
            </w:pPr>
            <w:r w:rsidRPr="009A1723">
              <w:t>N/A</w:t>
            </w:r>
          </w:p>
        </w:tc>
      </w:tr>
      <w:tr w:rsidR="002E5629" w:rsidRPr="009A1723" w14:paraId="45E08032" w14:textId="77777777" w:rsidTr="009C0323">
        <w:tc>
          <w:tcPr>
            <w:tcW w:w="236" w:type="dxa"/>
            <w:shd w:val="clear" w:color="auto" w:fill="auto"/>
          </w:tcPr>
          <w:p w14:paraId="622D2060" w14:textId="77777777" w:rsidR="002E5629" w:rsidRPr="009A1723" w:rsidRDefault="002E5629" w:rsidP="00223C84">
            <w:pPr>
              <w:pStyle w:val="Table1"/>
            </w:pPr>
            <w:r w:rsidRPr="009A1723">
              <w:rPr>
                <w:lang w:val="en-US"/>
              </w:rPr>
              <w:t>[Compounding:</w:t>
            </w:r>
          </w:p>
        </w:tc>
        <w:tc>
          <w:tcPr>
            <w:tcW w:w="5088" w:type="dxa"/>
            <w:shd w:val="clear" w:color="auto" w:fill="auto"/>
          </w:tcPr>
          <w:p w14:paraId="783FE27B" w14:textId="77777777" w:rsidR="002E5629" w:rsidRPr="009A1723" w:rsidRDefault="00846036" w:rsidP="00006D47">
            <w:pPr>
              <w:pStyle w:val="CellBody"/>
            </w:pPr>
            <w:r w:rsidRPr="009A1723">
              <w:t>N/A</w:t>
            </w:r>
          </w:p>
        </w:tc>
      </w:tr>
      <w:tr w:rsidR="002E5629" w:rsidRPr="009A1723" w14:paraId="054C5268" w14:textId="77777777" w:rsidTr="009C0323">
        <w:tc>
          <w:tcPr>
            <w:tcW w:w="236" w:type="dxa"/>
            <w:shd w:val="clear" w:color="auto" w:fill="auto"/>
          </w:tcPr>
          <w:p w14:paraId="50A2CD36" w14:textId="77777777" w:rsidR="002E5629" w:rsidRPr="009A1723" w:rsidRDefault="002E5629" w:rsidP="00223C84">
            <w:pPr>
              <w:pStyle w:val="Table1"/>
            </w:pPr>
            <w:r w:rsidRPr="009A1723">
              <w:rPr>
                <w:lang w:val="en-US"/>
              </w:rPr>
              <w:t>[Averaging:</w:t>
            </w:r>
          </w:p>
        </w:tc>
        <w:tc>
          <w:tcPr>
            <w:tcW w:w="5088" w:type="dxa"/>
            <w:shd w:val="clear" w:color="auto" w:fill="auto"/>
          </w:tcPr>
          <w:p w14:paraId="10A782A9" w14:textId="77777777" w:rsidR="002E5629" w:rsidRPr="009A1723" w:rsidRDefault="00846036" w:rsidP="00006D47">
            <w:pPr>
              <w:pStyle w:val="CellBody"/>
            </w:pPr>
            <w:r w:rsidRPr="009A1723">
              <w:t>N/A</w:t>
            </w:r>
          </w:p>
        </w:tc>
      </w:tr>
      <w:tr w:rsidR="002E5629" w:rsidRPr="009A1723" w14:paraId="72E70766" w14:textId="77777777" w:rsidTr="009C0323">
        <w:tc>
          <w:tcPr>
            <w:tcW w:w="236" w:type="dxa"/>
            <w:shd w:val="clear" w:color="auto" w:fill="auto"/>
          </w:tcPr>
          <w:p w14:paraId="5C021E6B" w14:textId="77777777" w:rsidR="002E5629" w:rsidRPr="009A1723" w:rsidRDefault="002E5629" w:rsidP="00223C84">
            <w:pPr>
              <w:pStyle w:val="Table1"/>
            </w:pPr>
            <w:r w:rsidRPr="009A1723">
              <w:rPr>
                <w:lang w:val="en-US"/>
              </w:rPr>
              <w:t>[Lookback:</w:t>
            </w:r>
          </w:p>
        </w:tc>
        <w:tc>
          <w:tcPr>
            <w:tcW w:w="5088" w:type="dxa"/>
            <w:shd w:val="clear" w:color="auto" w:fill="auto"/>
          </w:tcPr>
          <w:p w14:paraId="5855E961" w14:textId="77777777" w:rsidR="002E5629" w:rsidRPr="009A1723" w:rsidRDefault="00846036" w:rsidP="00006D47">
            <w:pPr>
              <w:pStyle w:val="CellBody"/>
            </w:pPr>
            <w:r w:rsidRPr="009A1723">
              <w:t>N/A</w:t>
            </w:r>
          </w:p>
        </w:tc>
      </w:tr>
      <w:tr w:rsidR="002E5629" w:rsidRPr="009A1723" w14:paraId="0DD0120A" w14:textId="77777777" w:rsidTr="009C0323">
        <w:tc>
          <w:tcPr>
            <w:tcW w:w="236" w:type="dxa"/>
            <w:shd w:val="clear" w:color="auto" w:fill="auto"/>
          </w:tcPr>
          <w:p w14:paraId="2413DA1A" w14:textId="77777777" w:rsidR="002E5629" w:rsidRPr="009A1723" w:rsidRDefault="002E5629" w:rsidP="00223C84">
            <w:pPr>
              <w:pStyle w:val="Table1"/>
            </w:pPr>
            <w:r w:rsidRPr="009A1723">
              <w:rPr>
                <w:lang w:val="en-US"/>
              </w:rPr>
              <w:t>[Observation Period Shift:</w:t>
            </w:r>
          </w:p>
        </w:tc>
        <w:tc>
          <w:tcPr>
            <w:tcW w:w="5088" w:type="dxa"/>
            <w:shd w:val="clear" w:color="auto" w:fill="auto"/>
          </w:tcPr>
          <w:p w14:paraId="28A2EFA3" w14:textId="77777777" w:rsidR="002E5629" w:rsidRPr="009A1723" w:rsidRDefault="00846036" w:rsidP="00006D47">
            <w:pPr>
              <w:pStyle w:val="CellBody"/>
            </w:pPr>
            <w:r w:rsidRPr="009A1723">
              <w:t>N/A</w:t>
            </w:r>
          </w:p>
        </w:tc>
      </w:tr>
      <w:tr w:rsidR="002E5629" w:rsidRPr="009A1723" w14:paraId="703D282D" w14:textId="77777777" w:rsidTr="009C0323">
        <w:tc>
          <w:tcPr>
            <w:tcW w:w="236" w:type="dxa"/>
            <w:shd w:val="clear" w:color="auto" w:fill="auto"/>
          </w:tcPr>
          <w:p w14:paraId="0250CA9A" w14:textId="77777777" w:rsidR="002E5629" w:rsidRPr="009A1723" w:rsidRDefault="002E5629" w:rsidP="00006D47">
            <w:pPr>
              <w:pStyle w:val="Table1"/>
            </w:pPr>
            <w:r w:rsidRPr="009A1723">
              <w:rPr>
                <w:lang w:val="en-US"/>
              </w:rPr>
              <w:t>Observation Period Shift Additional Business Days:</w:t>
            </w:r>
          </w:p>
        </w:tc>
        <w:tc>
          <w:tcPr>
            <w:tcW w:w="5088" w:type="dxa"/>
            <w:shd w:val="clear" w:color="auto" w:fill="auto"/>
            <w:vAlign w:val="bottom"/>
          </w:tcPr>
          <w:p w14:paraId="70791590" w14:textId="77777777" w:rsidR="002E5629" w:rsidRPr="009A1723" w:rsidRDefault="00846036" w:rsidP="00006D47">
            <w:pPr>
              <w:pStyle w:val="CellBody"/>
            </w:pPr>
            <w:r w:rsidRPr="009A1723">
              <w:t>N/A</w:t>
            </w:r>
          </w:p>
        </w:tc>
      </w:tr>
      <w:tr w:rsidR="002E5629" w:rsidRPr="009A1723" w14:paraId="185E7F78" w14:textId="77777777" w:rsidTr="009C0323">
        <w:tc>
          <w:tcPr>
            <w:tcW w:w="236" w:type="dxa"/>
            <w:shd w:val="clear" w:color="auto" w:fill="auto"/>
          </w:tcPr>
          <w:p w14:paraId="753B48A5" w14:textId="77777777" w:rsidR="002E5629" w:rsidRPr="009A1723" w:rsidRDefault="002E5629" w:rsidP="00223C84">
            <w:pPr>
              <w:pStyle w:val="Table1"/>
              <w:rPr>
                <w:lang w:val="en-US"/>
              </w:rPr>
            </w:pPr>
            <w:r w:rsidRPr="009A1723">
              <w:rPr>
                <w:lang w:val="en-US"/>
              </w:rPr>
              <w:t>Lockout:</w:t>
            </w:r>
          </w:p>
        </w:tc>
        <w:tc>
          <w:tcPr>
            <w:tcW w:w="5088" w:type="dxa"/>
            <w:shd w:val="clear" w:color="auto" w:fill="auto"/>
            <w:vAlign w:val="bottom"/>
          </w:tcPr>
          <w:p w14:paraId="7E5EDD58" w14:textId="77777777" w:rsidR="002E5629" w:rsidRPr="009A1723" w:rsidRDefault="00846036" w:rsidP="00006D47">
            <w:pPr>
              <w:pStyle w:val="CellBody"/>
              <w:rPr>
                <w:lang w:val="en-US"/>
              </w:rPr>
            </w:pPr>
            <w:r w:rsidRPr="009A1723">
              <w:t>N/A</w:t>
            </w:r>
          </w:p>
        </w:tc>
      </w:tr>
      <w:tr w:rsidR="002E5629" w:rsidRPr="009A1723" w14:paraId="1144B489" w14:textId="77777777" w:rsidTr="009C0323">
        <w:tc>
          <w:tcPr>
            <w:tcW w:w="236" w:type="dxa"/>
            <w:shd w:val="clear" w:color="auto" w:fill="auto"/>
          </w:tcPr>
          <w:p w14:paraId="7C4CD3DD" w14:textId="77777777" w:rsidR="002E5629" w:rsidRPr="009A1723" w:rsidRDefault="002E5629" w:rsidP="00223C84">
            <w:pPr>
              <w:pStyle w:val="Table1"/>
              <w:rPr>
                <w:lang w:val="en-US"/>
              </w:rPr>
            </w:pPr>
            <w:r w:rsidRPr="009A1723">
              <w:rPr>
                <w:lang w:val="en-US"/>
              </w:rPr>
              <w:t>Lockout Period Business Days:</w:t>
            </w:r>
          </w:p>
        </w:tc>
        <w:tc>
          <w:tcPr>
            <w:tcW w:w="5088" w:type="dxa"/>
            <w:shd w:val="clear" w:color="auto" w:fill="auto"/>
            <w:vAlign w:val="bottom"/>
          </w:tcPr>
          <w:p w14:paraId="2A68CB1C" w14:textId="77777777" w:rsidR="002E5629" w:rsidRPr="009A1723" w:rsidRDefault="00846036" w:rsidP="00006D47">
            <w:pPr>
              <w:pStyle w:val="CellBody"/>
              <w:rPr>
                <w:lang w:val="en-US"/>
              </w:rPr>
            </w:pPr>
            <w:r w:rsidRPr="009A1723">
              <w:t>N/A</w:t>
            </w:r>
          </w:p>
        </w:tc>
      </w:tr>
      <w:tr w:rsidR="002E5629" w:rsidRPr="009A1723" w14:paraId="052A8DD5" w14:textId="77777777" w:rsidTr="009C0323">
        <w:tc>
          <w:tcPr>
            <w:tcW w:w="236" w:type="dxa"/>
            <w:shd w:val="clear" w:color="auto" w:fill="auto"/>
          </w:tcPr>
          <w:p w14:paraId="13CEAA90" w14:textId="77777777" w:rsidR="002E5629" w:rsidRPr="009A1723" w:rsidRDefault="002E5629" w:rsidP="00223C84">
            <w:pPr>
              <w:pStyle w:val="Table1"/>
            </w:pPr>
            <w:r w:rsidRPr="009A1723">
              <w:rPr>
                <w:lang w:val="en-US"/>
              </w:rPr>
              <w:t>Calculation Agent:</w:t>
            </w:r>
          </w:p>
        </w:tc>
        <w:tc>
          <w:tcPr>
            <w:tcW w:w="5088" w:type="dxa"/>
            <w:shd w:val="clear" w:color="auto" w:fill="auto"/>
            <w:vAlign w:val="bottom"/>
          </w:tcPr>
          <w:p w14:paraId="7A721207" w14:textId="77777777" w:rsidR="002E5629" w:rsidRPr="009A1723" w:rsidRDefault="00846036" w:rsidP="00006D47">
            <w:pPr>
              <w:pStyle w:val="CellBody"/>
            </w:pPr>
            <w:r w:rsidRPr="009A1723">
              <w:t>N/A</w:t>
            </w:r>
          </w:p>
        </w:tc>
      </w:tr>
      <w:tr w:rsidR="002E5629" w:rsidRPr="009A1723" w14:paraId="60BB1D33" w14:textId="77777777" w:rsidTr="009C0323">
        <w:tc>
          <w:tcPr>
            <w:tcW w:w="236" w:type="dxa"/>
            <w:shd w:val="clear" w:color="auto" w:fill="auto"/>
          </w:tcPr>
          <w:p w14:paraId="4C8FDE73" w14:textId="77777777" w:rsidR="002E5629" w:rsidRPr="009A1723" w:rsidRDefault="002E5629" w:rsidP="00006D47">
            <w:pPr>
              <w:pStyle w:val="Table1"/>
            </w:pPr>
            <w:r w:rsidRPr="009A1723">
              <w:t>Redemption Amount:</w:t>
            </w:r>
          </w:p>
        </w:tc>
        <w:tc>
          <w:tcPr>
            <w:tcW w:w="5088" w:type="dxa"/>
            <w:shd w:val="clear" w:color="auto" w:fill="auto"/>
          </w:tcPr>
          <w:p w14:paraId="4655B2DA" w14:textId="77777777" w:rsidR="002E5629" w:rsidRPr="009A1723" w:rsidRDefault="00846036" w:rsidP="00006D47">
            <w:pPr>
              <w:pStyle w:val="CellBody"/>
            </w:pPr>
            <w:r w:rsidRPr="009A1723">
              <w:t>100%</w:t>
            </w:r>
          </w:p>
        </w:tc>
      </w:tr>
      <w:tr w:rsidR="002E5629" w:rsidRPr="009A1723" w14:paraId="160C9E85" w14:textId="77777777" w:rsidTr="009C0323">
        <w:tc>
          <w:tcPr>
            <w:tcW w:w="236" w:type="dxa"/>
            <w:shd w:val="clear" w:color="auto" w:fill="auto"/>
          </w:tcPr>
          <w:p w14:paraId="055C1CBA" w14:textId="77777777" w:rsidR="002E5629" w:rsidRPr="009A1723" w:rsidRDefault="002E5629" w:rsidP="00006D47">
            <w:pPr>
              <w:pStyle w:val="Table1"/>
            </w:pPr>
            <w:r w:rsidRPr="009A1723">
              <w:t>Maturity Date:</w:t>
            </w:r>
          </w:p>
        </w:tc>
        <w:tc>
          <w:tcPr>
            <w:tcW w:w="5088" w:type="dxa"/>
            <w:shd w:val="clear" w:color="auto" w:fill="auto"/>
          </w:tcPr>
          <w:p w14:paraId="39C6ADF7" w14:textId="796B7151" w:rsidR="002E5629" w:rsidRPr="009A1723" w:rsidRDefault="003E40D4" w:rsidP="00D15169">
            <w:pPr>
              <w:pStyle w:val="CellBody"/>
            </w:pPr>
            <w:r w:rsidRPr="009A1723">
              <w:t xml:space="preserve">03/06/24</w:t>
            </w:r>
          </w:p>
        </w:tc>
      </w:tr>
      <w:tr w:rsidR="002E5629" w:rsidRPr="009A1723" w14:paraId="62B44B5D" w14:textId="77777777" w:rsidTr="009C0323">
        <w:tc>
          <w:tcPr>
            <w:tcW w:w="236" w:type="dxa"/>
            <w:shd w:val="clear" w:color="auto" w:fill="auto"/>
          </w:tcPr>
          <w:p w14:paraId="7D2A1A39" w14:textId="77777777" w:rsidR="002E5629" w:rsidRPr="009A1723" w:rsidRDefault="002E5629" w:rsidP="00006D47">
            <w:pPr>
              <w:pStyle w:val="Table1"/>
            </w:pPr>
            <w:r w:rsidRPr="009A1723">
              <w:t>Purchase yield</w:t>
            </w:r>
          </w:p>
        </w:tc>
        <w:tc>
          <w:tcPr>
            <w:tcW w:w="5088" w:type="dxa"/>
            <w:shd w:val="clear" w:color="auto" w:fill="auto"/>
          </w:tcPr>
          <w:p w14:paraId="533CE89A" w14:textId="1B76DD9A" w:rsidR="002E5629" w:rsidRPr="009A1723" w:rsidRDefault="003E40D4" w:rsidP="00006D47">
            <w:pPr>
              <w:pStyle w:val="CellBody"/>
            </w:pPr>
            <w:r w:rsidRPr="009A1723">
              <w:t xml:space="preserve">4.015%</w:t>
            </w:r>
          </w:p>
        </w:tc>
      </w:tr>
      <w:tr w:rsidR="002E5629" w:rsidRPr="009A1723" w14:paraId="043C8AED" w14:textId="77777777" w:rsidTr="009C0323">
        <w:tc>
          <w:tcPr>
            <w:tcW w:w="236" w:type="dxa"/>
            <w:shd w:val="clear" w:color="auto" w:fill="auto"/>
          </w:tcPr>
          <w:p w14:paraId="39BC0C72" w14:textId="77777777" w:rsidR="002E5629" w:rsidRPr="009A1723" w:rsidRDefault="002E5629" w:rsidP="00006D47">
            <w:pPr>
              <w:pStyle w:val="Table1"/>
            </w:pPr>
            <w:r w:rsidRPr="009A1723">
              <w:t>Details of any additions or variations to the selling restrictions:</w:t>
            </w:r>
          </w:p>
        </w:tc>
        <w:tc>
          <w:tcPr>
            <w:tcW w:w="5088" w:type="dxa"/>
            <w:shd w:val="clear" w:color="auto" w:fill="auto"/>
          </w:tcPr>
          <w:p w14:paraId="7E364D33" w14:textId="77777777" w:rsidR="002E5629" w:rsidRPr="009A1723" w:rsidRDefault="00FB0B4D" w:rsidP="00006D47">
            <w:pPr>
              <w:pStyle w:val="CellBody"/>
            </w:pPr>
            <w:r w:rsidRPr="009A1723">
              <w:t>N/A</w:t>
            </w:r>
          </w:p>
        </w:tc>
      </w:tr>
      <w:tr w:rsidR="002E5629" w:rsidRPr="009A1723" w14:paraId="4FE4C55C" w14:textId="77777777" w:rsidTr="009C0323">
        <w:tc>
          <w:tcPr>
            <w:tcW w:w="236" w:type="dxa"/>
            <w:shd w:val="clear" w:color="auto" w:fill="auto"/>
          </w:tcPr>
          <w:p w14:paraId="21AA6112" w14:textId="77777777" w:rsidR="002E5629" w:rsidRPr="009A1723" w:rsidRDefault="002E5629" w:rsidP="00006D47">
            <w:pPr>
              <w:pStyle w:val="Table1"/>
            </w:pPr>
            <w:r w:rsidRPr="009A1723">
              <w:t>Issue Price:</w:t>
            </w:r>
          </w:p>
        </w:tc>
        <w:tc>
          <w:tcPr>
            <w:tcW w:w="5088" w:type="dxa"/>
            <w:shd w:val="clear" w:color="auto" w:fill="auto"/>
          </w:tcPr>
          <w:p w14:paraId="205AA125" w14:textId="24192021" w:rsidR="00852D37" w:rsidRPr="009A1723" w:rsidRDefault="003E40D4" w:rsidP="009B1E4B">
            <w:pPr>
              <w:pStyle w:val="CellBody"/>
            </w:pPr>
            <w:r w:rsidRPr="009A1723">
              <w:t xml:space="preserve">99.644380</w:t>
            </w:r>
          </w:p>
        </w:tc>
      </w:tr>
      <w:tr w:rsidR="002E5629" w:rsidRPr="009A1723" w14:paraId="1EB4F8BE" w14:textId="77777777" w:rsidTr="009C0323">
        <w:tc>
          <w:tcPr>
            <w:tcW w:w="236" w:type="dxa"/>
            <w:shd w:val="clear" w:color="auto" w:fill="auto"/>
          </w:tcPr>
          <w:p w14:paraId="167427C0" w14:textId="77777777" w:rsidR="002E5629" w:rsidRPr="009A1723" w:rsidRDefault="002E5629" w:rsidP="00006D47">
            <w:pPr>
              <w:pStyle w:val="Table1"/>
            </w:pPr>
            <w:r w:rsidRPr="009A1723">
              <w:t>Dealer’s Commission:</w:t>
            </w:r>
          </w:p>
        </w:tc>
        <w:tc>
          <w:tcPr>
            <w:tcW w:w="5088" w:type="dxa"/>
            <w:shd w:val="clear" w:color="auto" w:fill="auto"/>
          </w:tcPr>
          <w:p w14:paraId="0125B59D" w14:textId="77777777" w:rsidR="002E5629" w:rsidRPr="009A1723" w:rsidRDefault="00FB0B4D" w:rsidP="00006D47">
            <w:pPr>
              <w:pStyle w:val="CellBody"/>
            </w:pPr>
            <w:r w:rsidRPr="009A1723">
              <w:t>N/A</w:t>
            </w:r>
          </w:p>
        </w:tc>
      </w:tr>
      <w:tr w:rsidR="002E5629" w:rsidRPr="009A1723" w14:paraId="4CDF21CE" w14:textId="77777777" w:rsidTr="009C0323">
        <w:tc>
          <w:tcPr>
            <w:tcW w:w="236" w:type="dxa"/>
            <w:shd w:val="clear" w:color="auto" w:fill="auto"/>
          </w:tcPr>
          <w:p w14:paraId="1FB7470D" w14:textId="77777777" w:rsidR="002E5629" w:rsidRPr="009A1723" w:rsidRDefault="002E5629" w:rsidP="00006D47">
            <w:pPr>
              <w:pStyle w:val="Table1"/>
            </w:pPr>
            <w:r w:rsidRPr="009A1723">
              <w:lastRenderedPageBreak/>
              <w:t>[Net] Proceeds Payable to the Issuer:</w:t>
            </w:r>
          </w:p>
        </w:tc>
        <w:tc>
          <w:tcPr>
            <w:tcW w:w="5088" w:type="dxa"/>
            <w:shd w:val="clear" w:color="auto" w:fill="auto"/>
          </w:tcPr>
          <w:p w14:paraId="552D7B46" w14:textId="61350AF4" w:rsidR="002E5629" w:rsidRPr="009A1723" w:rsidRDefault="003E40D4" w:rsidP="00D15169">
            <w:pPr>
              <w:pStyle w:val="CellBody"/>
            </w:pPr>
            <w:r w:rsidRPr="009A1723">
              <w:t xml:space="preserve">29,893,314.08</w:t>
            </w:r>
          </w:p>
        </w:tc>
      </w:tr>
      <w:tr w:rsidR="00FA5CD4" w:rsidRPr="009A1723" w14:paraId="2D7D9A69" w14:textId="77777777" w:rsidTr="009C0323">
        <w:tc>
          <w:tcPr>
            <w:tcW w:w="236" w:type="dxa"/>
            <w:shd w:val="clear" w:color="auto" w:fill="auto"/>
          </w:tcPr>
          <w:p w14:paraId="2720B740" w14:textId="77777777" w:rsidR="00FA5CD4" w:rsidRPr="009A1723" w:rsidRDefault="00FA5CD4" w:rsidP="00FA5CD4">
            <w:pPr>
              <w:pStyle w:val="Table1"/>
            </w:pPr>
            <w:r w:rsidRPr="009A1723">
              <w:t xml:space="preserve">Dealer’s Euroclear/ </w:t>
            </w:r>
            <w:proofErr w:type="spellStart"/>
            <w:r w:rsidRPr="009A1723">
              <w:t>Clearstream</w:t>
            </w:r>
            <w:proofErr w:type="spellEnd"/>
            <w:r w:rsidRPr="009A1723">
              <w:t>, Luxembourg/NBB Securities Settlement System/[Other] account to which Notes are to be credited:</w:t>
            </w:r>
          </w:p>
        </w:tc>
        <w:tc>
          <w:tcPr>
            <w:tcW w:w="5088" w:type="dxa"/>
            <w:shd w:val="clear" w:color="auto" w:fill="auto"/>
          </w:tcPr>
          <w:p w14:paraId="2D22DCCE" w14:textId="7DF02CBE" w:rsidR="00FA5CD4" w:rsidRPr="009A1723" w:rsidRDefault="003B72E6" w:rsidP="00FA5CD4">
            <w:pPr>
              <w:pStyle w:val="CellBody"/>
            </w:pPr>
            <w:r w:rsidRPr="009A1723">
              <w:t xml:space="preserve">Euroclear 94589</w:t>
            </w:r>
          </w:p>
        </w:tc>
      </w:tr>
      <w:tr w:rsidR="00FA5CD4" w:rsidRPr="009A1723" w14:paraId="7508AF32" w14:textId="77777777" w:rsidTr="009C0323">
        <w:tc>
          <w:tcPr>
            <w:tcW w:w="236" w:type="dxa"/>
            <w:shd w:val="clear" w:color="auto" w:fill="auto"/>
          </w:tcPr>
          <w:p w14:paraId="4699843D" w14:textId="77777777" w:rsidR="00FA5CD4" w:rsidRPr="009A1723" w:rsidRDefault="00FA5CD4" w:rsidP="00FA5CD4">
            <w:pPr>
              <w:pStyle w:val="Table1"/>
            </w:pPr>
            <w:r w:rsidRPr="009A1723">
              <w:t>Method of distribution:</w:t>
            </w:r>
          </w:p>
        </w:tc>
        <w:tc>
          <w:tcPr>
            <w:tcW w:w="5088" w:type="dxa"/>
            <w:shd w:val="clear" w:color="auto" w:fill="auto"/>
          </w:tcPr>
          <w:p w14:paraId="0A72E6B0" w14:textId="77777777" w:rsidR="00FA5CD4" w:rsidRPr="009A1723" w:rsidRDefault="00FA5CD4" w:rsidP="00FA5CD4">
            <w:r w:rsidRPr="009A1723">
              <w:t>Non-</w:t>
            </w:r>
            <w:proofErr w:type="spellStart"/>
            <w:r w:rsidRPr="009A1723">
              <w:t>syndicated</w:t>
            </w:r>
            <w:proofErr w:type="spellEnd"/>
          </w:p>
        </w:tc>
      </w:tr>
      <w:tr w:rsidR="00FA5CD4" w:rsidRPr="009A1723" w14:paraId="3EB097B9" w14:textId="77777777" w:rsidTr="009C0323">
        <w:tc>
          <w:tcPr>
            <w:tcW w:w="236" w:type="dxa"/>
            <w:shd w:val="clear" w:color="auto" w:fill="auto"/>
          </w:tcPr>
          <w:p w14:paraId="69361962" w14:textId="77777777" w:rsidR="00FA5CD4" w:rsidRPr="009A1723" w:rsidRDefault="00FA5CD4" w:rsidP="00FA5CD4">
            <w:pPr>
              <w:pStyle w:val="Table1"/>
            </w:pPr>
            <w:r w:rsidRPr="009A1723">
              <w:t>Issuer’s account to which the subscription monies are to be credited:</w:t>
            </w:r>
          </w:p>
        </w:tc>
        <w:tc>
          <w:tcPr>
            <w:tcW w:w="5088" w:type="dxa"/>
            <w:shd w:val="clear" w:color="auto" w:fill="auto"/>
          </w:tcPr>
          <w:p w14:paraId="5B78A722" w14:textId="77777777" w:rsidR="00FA5CD4" w:rsidRPr="009A1723" w:rsidRDefault="00FA5CD4" w:rsidP="00FA5CD4">
            <w:pPr>
              <w:pStyle w:val="Default"/>
              <w:rPr>
                <w:sz w:val="20"/>
                <w:szCs w:val="20"/>
                <w:lang w:val="en-US"/>
              </w:rPr>
            </w:pPr>
            <w:r w:rsidRPr="009A1723">
              <w:rPr>
                <w:sz w:val="20"/>
                <w:szCs w:val="20"/>
                <w:lang w:val="en-US"/>
              </w:rPr>
              <w:t xml:space="preserve">BANQUE ENI S.A. – Brussels - ENIBBEBBXXX Account Number: BE62968101260261 </w:t>
            </w:r>
          </w:p>
        </w:tc>
      </w:tr>
      <w:tr w:rsidR="00FA5CD4" w:rsidRPr="009A1723" w14:paraId="750EB6C1" w14:textId="77777777" w:rsidTr="009C0323">
        <w:tc>
          <w:tcPr>
            <w:tcW w:w="236" w:type="dxa"/>
            <w:shd w:val="clear" w:color="auto" w:fill="auto"/>
          </w:tcPr>
          <w:p w14:paraId="17B95BEB" w14:textId="77777777" w:rsidR="00FA5CD4" w:rsidRPr="009A1723" w:rsidRDefault="00FA5CD4" w:rsidP="00FA5CD4">
            <w:pPr>
              <w:pStyle w:val="Table1"/>
            </w:pPr>
            <w:r w:rsidRPr="009A1723">
              <w:rPr>
                <w:lang w:val="en-US"/>
              </w:rPr>
              <w:t>New Global Note Form:</w:t>
            </w:r>
          </w:p>
        </w:tc>
        <w:tc>
          <w:tcPr>
            <w:tcW w:w="5088" w:type="dxa"/>
            <w:shd w:val="clear" w:color="auto" w:fill="auto"/>
            <w:vAlign w:val="bottom"/>
          </w:tcPr>
          <w:p w14:paraId="3D07F354" w14:textId="0BAF7105" w:rsidR="00FA5CD4" w:rsidRPr="009A1723" w:rsidRDefault="00FA5CD4" w:rsidP="00FA5CD4">
            <w:r w:rsidRPr="009A1723">
              <w:rPr>
                <w:lang w:val="en-US"/>
              </w:rPr>
              <w:t>Applicable</w:t>
            </w:r>
          </w:p>
        </w:tc>
      </w:tr>
      <w:tr w:rsidR="00FA5CD4" w:rsidRPr="009A1723" w14:paraId="685A267F" w14:textId="77777777" w:rsidTr="009C0323">
        <w:tc>
          <w:tcPr>
            <w:tcW w:w="236" w:type="dxa"/>
            <w:shd w:val="clear" w:color="auto" w:fill="auto"/>
          </w:tcPr>
          <w:p w14:paraId="5085F0C4" w14:textId="77777777" w:rsidR="00FA5CD4" w:rsidRPr="009A1723" w:rsidRDefault="00FA5CD4" w:rsidP="00FA5CD4">
            <w:pPr>
              <w:pStyle w:val="Table1"/>
            </w:pPr>
            <w:r w:rsidRPr="009A1723">
              <w:rPr>
                <w:lang w:val="en-US"/>
              </w:rPr>
              <w:t xml:space="preserve">New Global Note intended to be held in a manner which would allow </w:t>
            </w:r>
            <w:proofErr w:type="spellStart"/>
            <w:r w:rsidRPr="009A1723">
              <w:rPr>
                <w:lang w:val="en-US"/>
              </w:rPr>
              <w:t>Eurosystem</w:t>
            </w:r>
            <w:proofErr w:type="spellEnd"/>
            <w:r w:rsidRPr="009A1723">
              <w:rPr>
                <w:lang w:val="en-US"/>
              </w:rPr>
              <w:t xml:space="preserve"> eligibility:</w:t>
            </w:r>
          </w:p>
        </w:tc>
        <w:tc>
          <w:tcPr>
            <w:tcW w:w="5088" w:type="dxa"/>
            <w:shd w:val="clear" w:color="auto" w:fill="auto"/>
            <w:vAlign w:val="bottom"/>
          </w:tcPr>
          <w:p w14:paraId="3D726359" w14:textId="03E5AA62" w:rsidR="00FA5CD4" w:rsidRPr="009A1723" w:rsidRDefault="00FA5CD4" w:rsidP="00FA5CD4">
            <w:r w:rsidRPr="009A1723">
              <w:rPr>
                <w:rFonts w:ascii="Arial" w:eastAsia="Times New Roman" w:hAnsi="Arial" w:cs="Times New Roman"/>
                <w:kern w:val="20"/>
                <w:sz w:val="20"/>
                <w:szCs w:val="20"/>
                <w:lang w:val="en-GB"/>
              </w:rPr>
              <w:t>Yes</w:t>
            </w:r>
          </w:p>
        </w:tc>
      </w:tr>
      <w:tr w:rsidR="00FA5CD4" w:rsidRPr="009A1723" w14:paraId="6DE62E94" w14:textId="77777777" w:rsidTr="009C0323">
        <w:tc>
          <w:tcPr>
            <w:tcW w:w="236" w:type="dxa"/>
            <w:shd w:val="clear" w:color="auto" w:fill="auto"/>
          </w:tcPr>
          <w:p w14:paraId="6583B5D1" w14:textId="77777777" w:rsidR="00FA5CD4" w:rsidRPr="009A1723" w:rsidRDefault="00FA5CD4" w:rsidP="00FA5CD4">
            <w:pPr>
              <w:pStyle w:val="Table1"/>
              <w:rPr>
                <w:lang w:val="en-US"/>
              </w:rPr>
            </w:pPr>
            <w:r w:rsidRPr="009A1723">
              <w:t>The Notes are subject to Legislative Decree No. 239 of 1 April 1996 as amended from time to time or replaced (“</w:t>
            </w:r>
            <w:r w:rsidRPr="009A1723">
              <w:rPr>
                <w:b/>
                <w:bCs/>
              </w:rPr>
              <w:t>Decree No. 239</w:t>
            </w:r>
            <w:r w:rsidRPr="009A1723">
              <w:t>”):</w:t>
            </w:r>
          </w:p>
        </w:tc>
        <w:tc>
          <w:tcPr>
            <w:tcW w:w="5088" w:type="dxa"/>
            <w:shd w:val="clear" w:color="auto" w:fill="auto"/>
            <w:vAlign w:val="bottom"/>
          </w:tcPr>
          <w:p w14:paraId="08E31169" w14:textId="77777777" w:rsidR="00FA5CD4" w:rsidRPr="009A1723" w:rsidRDefault="00FA5CD4" w:rsidP="00FA5CD4">
            <w:pPr>
              <w:pStyle w:val="Body"/>
            </w:pPr>
            <w:r w:rsidRPr="009A1723">
              <w:t>Yes</w:t>
            </w:r>
          </w:p>
          <w:p w14:paraId="0A1F8DA3" w14:textId="77777777" w:rsidR="00FA5CD4" w:rsidRPr="009A1723" w:rsidRDefault="00FA5CD4" w:rsidP="00FA5CD4">
            <w:pPr>
              <w:pStyle w:val="Body"/>
            </w:pPr>
          </w:p>
          <w:p w14:paraId="77896B4C" w14:textId="77777777" w:rsidR="00FA5CD4" w:rsidRPr="009A1723" w:rsidRDefault="00FA5CD4" w:rsidP="00FA5CD4">
            <w:pPr>
              <w:pStyle w:val="Body"/>
              <w:rPr>
                <w:lang w:val="en-US"/>
              </w:rPr>
            </w:pPr>
          </w:p>
        </w:tc>
      </w:tr>
      <w:tr w:rsidR="00FA5CD4" w:rsidRPr="009A1723" w14:paraId="34221EFA" w14:textId="77777777" w:rsidTr="009C0323">
        <w:tc>
          <w:tcPr>
            <w:tcW w:w="236" w:type="dxa"/>
            <w:shd w:val="clear" w:color="auto" w:fill="auto"/>
          </w:tcPr>
          <w:p w14:paraId="3295DA3A" w14:textId="77777777" w:rsidR="00FA5CD4" w:rsidRPr="009A1723" w:rsidRDefault="00FA5CD4" w:rsidP="00FA5CD4">
            <w:pPr>
              <w:pStyle w:val="Table1"/>
            </w:pPr>
            <w:r w:rsidRPr="009A1723">
              <w:t>The Notes are "Typical" (26% Substitutive Tax).</w:t>
            </w:r>
          </w:p>
        </w:tc>
        <w:tc>
          <w:tcPr>
            <w:tcW w:w="5088" w:type="dxa"/>
            <w:shd w:val="clear" w:color="auto" w:fill="auto"/>
            <w:vAlign w:val="bottom"/>
          </w:tcPr>
          <w:p w14:paraId="39E1C3A7" w14:textId="77777777" w:rsidR="00FA5CD4" w:rsidRPr="009A1723" w:rsidRDefault="00FA5CD4" w:rsidP="00FA5CD4">
            <w:pPr>
              <w:pStyle w:val="Body"/>
            </w:pPr>
            <w:r w:rsidRPr="009A1723">
              <w:t>Yes</w:t>
            </w:r>
          </w:p>
          <w:p w14:paraId="251BBCAE" w14:textId="77777777" w:rsidR="00FA5CD4" w:rsidRPr="009A1723" w:rsidRDefault="00FA5CD4" w:rsidP="00FA5CD4">
            <w:pPr>
              <w:pStyle w:val="Body"/>
            </w:pPr>
          </w:p>
        </w:tc>
      </w:tr>
      <w:tr w:rsidR="00FA5CD4" w:rsidRPr="009A1723" w14:paraId="52B458E6" w14:textId="77777777" w:rsidTr="009C0323">
        <w:tc>
          <w:tcPr>
            <w:tcW w:w="236" w:type="dxa"/>
            <w:shd w:val="clear" w:color="auto" w:fill="auto"/>
          </w:tcPr>
          <w:p w14:paraId="1C0B2667" w14:textId="77777777" w:rsidR="00FA5CD4" w:rsidRPr="009A1723" w:rsidRDefault="00FA5CD4" w:rsidP="00FA5CD4">
            <w:pPr>
              <w:pStyle w:val="Table1"/>
              <w:spacing w:after="0"/>
            </w:pPr>
            <w:r w:rsidRPr="009A1723">
              <w:t>Settlement type:</w:t>
            </w:r>
          </w:p>
        </w:tc>
        <w:tc>
          <w:tcPr>
            <w:tcW w:w="5088" w:type="dxa"/>
            <w:shd w:val="clear" w:color="auto" w:fill="auto"/>
            <w:vAlign w:val="bottom"/>
          </w:tcPr>
          <w:p w14:paraId="72CCFF21" w14:textId="77777777" w:rsidR="00FA5CD4" w:rsidRPr="009A1723" w:rsidRDefault="00FA5CD4" w:rsidP="00FA5CD4">
            <w:pPr>
              <w:pStyle w:val="Body"/>
              <w:spacing w:after="0"/>
            </w:pPr>
            <w:r w:rsidRPr="009A1723">
              <w:t>Delivery Versus Payment</w:t>
            </w:r>
          </w:p>
          <w:p w14:paraId="3D647A4B" w14:textId="77777777" w:rsidR="00FA5CD4" w:rsidRPr="009A1723" w:rsidRDefault="00FA5CD4" w:rsidP="00FA5CD4">
            <w:pPr>
              <w:pStyle w:val="Body"/>
              <w:spacing w:after="0"/>
            </w:pPr>
          </w:p>
        </w:tc>
      </w:tr>
      <w:tr w:rsidR="00FA5CD4" w:rsidRPr="009A1723" w14:paraId="61F31BD3" w14:textId="77777777" w:rsidTr="009C0323">
        <w:tc>
          <w:tcPr>
            <w:tcW w:w="236" w:type="dxa"/>
            <w:shd w:val="clear" w:color="auto" w:fill="auto"/>
          </w:tcPr>
          <w:p w14:paraId="6BC35E99" w14:textId="77777777" w:rsidR="00FA5CD4" w:rsidRPr="009A1723" w:rsidRDefault="00FA5CD4" w:rsidP="00FA5CD4">
            <w:pPr>
              <w:pStyle w:val="Table1"/>
              <w:spacing w:after="0"/>
            </w:pPr>
            <w:r w:rsidRPr="009A1723">
              <w:t>Delivery details:</w:t>
            </w:r>
          </w:p>
        </w:tc>
        <w:tc>
          <w:tcPr>
            <w:tcW w:w="5088" w:type="dxa"/>
            <w:shd w:val="clear" w:color="auto" w:fill="auto"/>
          </w:tcPr>
          <w:p w14:paraId="165CA511" w14:textId="16A50F10" w:rsidR="00FA5CD4" w:rsidRPr="009A1723" w:rsidRDefault="003B72E6" w:rsidP="00FA5CD4">
            <w:pPr>
              <w:pStyle w:val="Body"/>
              <w:spacing w:after="0"/>
            </w:pPr>
            <w:r w:rsidRPr="009A1723">
              <w:t xml:space="preserve">Euroclear 94589</w:t>
            </w:r>
          </w:p>
          <w:p w14:paraId="428ACD4F" w14:textId="209BDC3C" w:rsidR="00FA5CD4" w:rsidRPr="009A1723" w:rsidRDefault="00FA5CD4" w:rsidP="00FA5CD4">
            <w:pPr>
              <w:pStyle w:val="Body"/>
              <w:spacing w:after="0"/>
            </w:pPr>
          </w:p>
        </w:tc>
      </w:tr>
      <w:tr w:rsidR="00FA5CD4" w:rsidRPr="009A1723" w14:paraId="11918631" w14:textId="77777777" w:rsidTr="009C0323">
        <w:tc>
          <w:tcPr>
            <w:tcW w:w="236" w:type="dxa"/>
            <w:shd w:val="clear" w:color="auto" w:fill="auto"/>
          </w:tcPr>
          <w:p w14:paraId="467F5C79" w14:textId="77777777" w:rsidR="00FA5CD4" w:rsidRPr="009A1723" w:rsidRDefault="00FA5CD4" w:rsidP="00FA5CD4">
            <w:pPr>
              <w:pStyle w:val="Table1"/>
              <w:spacing w:after="0"/>
            </w:pPr>
            <w:r w:rsidRPr="009A1723">
              <w:lastRenderedPageBreak/>
              <w:t>U.S. Selling Restrictions:</w:t>
            </w:r>
          </w:p>
        </w:tc>
        <w:tc>
          <w:tcPr>
            <w:tcW w:w="5088" w:type="dxa"/>
            <w:shd w:val="clear" w:color="auto" w:fill="auto"/>
            <w:vAlign w:val="bottom"/>
          </w:tcPr>
          <w:p w14:paraId="1F0B5A3D" w14:textId="77777777" w:rsidR="00FA5CD4" w:rsidRPr="009A1723" w:rsidRDefault="00FA5CD4" w:rsidP="00FA5CD4">
            <w:pPr>
              <w:pStyle w:val="Body"/>
              <w:spacing w:after="0"/>
            </w:pPr>
            <w:r w:rsidRPr="009A1723">
              <w:t>Not Applicable</w:t>
            </w:r>
          </w:p>
        </w:tc>
      </w:tr>
      <w:bookmarkEnd w:id="7"/>
    </w:tbl>
    <w:p w14:paraId="16D5C9D7" w14:textId="77777777" w:rsidR="002E5629" w:rsidRPr="009A1723" w:rsidRDefault="002E5629" w:rsidP="002E5629">
      <w:pPr>
        <w:pStyle w:val="Body"/>
      </w:pPr>
    </w:p>
    <w:p w14:paraId="22ACEDE3" w14:textId="77777777" w:rsidR="002E5629" w:rsidRPr="009A1723" w:rsidRDefault="002E5629" w:rsidP="002E5629">
      <w:pPr>
        <w:pStyle w:val="Body"/>
      </w:pPr>
    </w:p>
    <w:p w14:paraId="5F2EDA74" w14:textId="77777777" w:rsidR="00223C84" w:rsidRPr="009A1723" w:rsidRDefault="00223C84" w:rsidP="002E5629">
      <w:pPr>
        <w:pStyle w:val="Body"/>
      </w:pPr>
    </w:p>
    <w:p w14:paraId="237F8ECD" w14:textId="77777777" w:rsidR="0012156B" w:rsidRPr="009A1723" w:rsidRDefault="0012156B" w:rsidP="0012156B">
      <w:pPr>
        <w:pStyle w:val="Body"/>
      </w:pPr>
      <w:r w:rsidRPr="009A1723">
        <w:t>This notification, and any non-contractual obligations arising out of or in connection with it, shall be governed by and construed in accordance with English law.</w:t>
      </w:r>
    </w:p>
    <w:p w14:paraId="6F960F35" w14:textId="32B7B872" w:rsidR="0012156B" w:rsidRPr="009A1723" w:rsidRDefault="0012156B" w:rsidP="0012156B">
      <w:pPr>
        <w:pStyle w:val="Body"/>
      </w:pPr>
      <w:r w:rsidRPr="009A1723">
        <w:t>Date:</w:t>
      </w:r>
      <w:r w:rsidR="00E67819" w:rsidRPr="009A1723">
        <w:t xml:space="preserve"> </w:t>
      </w:r>
      <w:r w:rsidR="003E40D4" w:rsidRPr="009A1723">
        <w:t xml:space="preserve">29/04/24</w:t>
      </w:r>
    </w:p>
    <w:p w14:paraId="6AD2620E" w14:textId="77777777" w:rsidR="0012156B" w:rsidRPr="0074492D" w:rsidRDefault="0012156B" w:rsidP="0012156B">
      <w:pPr>
        <w:pStyle w:val="Body"/>
        <w:rPr>
          <w:b/>
          <w:bCs/>
        </w:rPr>
      </w:pPr>
      <w:r w:rsidRPr="009A1723">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14E2" w14:textId="77777777" w:rsidR="005A396F" w:rsidRDefault="005A396F" w:rsidP="002E5629">
      <w:pPr>
        <w:spacing w:after="0" w:line="240" w:lineRule="auto"/>
      </w:pPr>
      <w:r>
        <w:separator/>
      </w:r>
    </w:p>
  </w:endnote>
  <w:endnote w:type="continuationSeparator" w:id="0">
    <w:p w14:paraId="694F172B" w14:textId="77777777" w:rsidR="005A396F" w:rsidRDefault="005A396F"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A110D" w14:textId="77777777" w:rsidR="005A396F" w:rsidRDefault="005A396F" w:rsidP="002E5629">
      <w:pPr>
        <w:spacing w:after="0" w:line="240" w:lineRule="auto"/>
      </w:pPr>
      <w:r>
        <w:separator/>
      </w:r>
    </w:p>
  </w:footnote>
  <w:footnote w:type="continuationSeparator" w:id="0">
    <w:p w14:paraId="205CB38F" w14:textId="77777777" w:rsidR="005A396F" w:rsidRDefault="005A396F"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17927"/>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6211"/>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A396F"/>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A1723"/>
    <w:rsid w:val="009B1E4B"/>
    <w:rsid w:val="009B6EA2"/>
    <w:rsid w:val="009C0323"/>
    <w:rsid w:val="009F6529"/>
    <w:rsid w:val="00A01130"/>
    <w:rsid w:val="00A0188B"/>
    <w:rsid w:val="00A11C25"/>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54B8"/>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438</Words>
  <Characters>2501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8</cp:revision>
  <cp:lastPrinted>2024-03-20T13:33:00Z</cp:lastPrinted>
  <dcterms:created xsi:type="dcterms:W3CDTF">2024-04-11T08:11:00Z</dcterms:created>
  <dcterms:modified xsi:type="dcterms:W3CDTF">2024-05-07T06:10:00Z</dcterms:modified>
  <dc:identifier/>
  <dc:language/>
</cp:coreProperties>
</file>