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es9tf3a3dgq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Durante esta etapa de ejecución de la Fase 2 el equipo se enfocó en los servicios de de la plataforma (plugins,automatización y storage).</w:t>
            </w:r>
          </w:p>
          <w:p w:rsidR="00000000" w:rsidDel="00000000" w:rsidP="00000000" w:rsidRDefault="00000000" w:rsidRPr="00000000" w14:paraId="0000000F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1- Denis Carcamo diseñó el IAM así como también Diego Quioza los Tenant y Santiago Santander los </w:t>
            </w: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Billing completando así la primera parte del proyecto.</w:t>
            </w:r>
          </w:p>
          <w:p w:rsidR="00000000" w:rsidDel="00000000" w:rsidP="00000000" w:rsidRDefault="00000000" w:rsidRPr="00000000" w14:paraId="00000010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2-Se pudo comprobar un CRUD en todos las partes por ejemplo en el Iam se puede registrar(creación de usuarios con validación de DTOs y control de duplicidad en los correos), logear(Validar credenciales y retorno del access_token), ver usuarios(Consulta de usuarios), modificar(Modificación selectiva de nombre,validación de cambio de correo y contraseña )y eliminar.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3-Se implementó una lógica de seguridad y autenticación basado en la emisión de tokens para permitir accesos efímeros o de corto tiempo para sesiones stateless.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 mantienen los Objetivos generales y específicos formalizando el siguiente ajuste técnico. </w:t>
            </w:r>
          </w:p>
          <w:p w:rsidR="00000000" w:rsidDel="00000000" w:rsidP="00000000" w:rsidRDefault="00000000" w:rsidRPr="00000000" w14:paraId="00000014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Ajuste en la ejecución de plugins y procesos en segundo plano.La ejecución de automatizaciones se centrará inicialmente en un pool de workers asíncronos en Python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 confirma la metodología basada en Scrum. Se incorpora como ajuste metodológico el uso de Impact Mapping y especificación formal de Criterios de Aceptación (Gherkin) para cada Historia de Usuario antes de codificar.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1284.408854166666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Describe la(s) evidencia(s) que presentarás en este informe de avance y justifica de qué manera esta(s) evidencia(s) permite(n) dar cuenta del desarrollo del proyecto.</w:t>
            </w:r>
          </w:p>
          <w:p w:rsidR="00000000" w:rsidDel="00000000" w:rsidP="00000000" w:rsidRDefault="00000000" w:rsidRPr="00000000" w14:paraId="0000001B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caso de ser pertinente explica cómo resguardaste la calidad de tu Proyecto APT a partir de aspectos propios de tu disciplina (correcta aplicación de metodologías, actividades, herramientas, recursos propios, etc.).</w:t>
            </w:r>
          </w:p>
          <w:p w:rsidR="00000000" w:rsidDel="00000000" w:rsidP="00000000" w:rsidRDefault="00000000" w:rsidRPr="00000000" w14:paraId="0000001C">
            <w:pPr>
              <w:jc w:val="both"/>
              <w:rPr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este apartado adjuntar la(s) evidencia(s) seleccionada(s) para ser evaluada por el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="-1011" w:tblpY="2430"/>
        <w:tblW w:w="1059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455"/>
        <w:gridCol w:w="1080"/>
        <w:gridCol w:w="1275"/>
        <w:gridCol w:w="1275"/>
        <w:gridCol w:w="1275"/>
        <w:gridCol w:w="1275"/>
        <w:gridCol w:w="1425"/>
        <w:gridCol w:w="1530"/>
        <w:tblGridChange w:id="0">
          <w:tblGrid>
            <w:gridCol w:w="1455"/>
            <w:gridCol w:w="1080"/>
            <w:gridCol w:w="1275"/>
            <w:gridCol w:w="1275"/>
            <w:gridCol w:w="1275"/>
            <w:gridCol w:w="1275"/>
            <w:gridCol w:w="1425"/>
            <w:gridCol w:w="153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Responsable</w:t>
            </w:r>
            <w:r w:rsidDel="00000000" w:rsidR="00000000" w:rsidRPr="00000000">
              <w:rPr>
                <w:color w:val="1f3864"/>
                <w:sz w:val="16"/>
                <w:szCs w:val="16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color w:val="1f3864"/>
                <w:sz w:val="16"/>
                <w:szCs w:val="16"/>
              </w:rPr>
            </w:pPr>
            <w:r w:rsidDel="00000000" w:rsidR="00000000" w:rsidRPr="00000000">
              <w:rPr>
                <w:color w:val="1f3864"/>
                <w:sz w:val="16"/>
                <w:szCs w:val="16"/>
                <w:rtl w:val="0"/>
              </w:rPr>
              <w:t xml:space="preserve">Ajustes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Construir el modelo arquitectónico de una solución sistémica que soporte los procesos de negocio.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Diseño de arquitectura de la solución 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Diagramas C4, draw.io, Git, documentación técnica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 semanas 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Diego Quioza 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Facilitador: clara delimitación entre el servicio IAM y el motor en Python 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Completado 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Ninguno 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Ofrecer propuestas de solución informática analizando de forma integral los procesos. 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Levantamiento y análisis de requerimientos 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Reuniones de equipo, Impact Mapping, User Stories 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1 semanas 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Equipo completo 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Facilitador: experiencia previa con flujos de Shadow IT. 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Completado 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Se estructuraron criterios de aceptación en formato Gherkin. 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Construir modelos de datos para soportar los requerimientos de la organización. 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Diseño e implementación de modelos de datos 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240" w:line="276" w:lineRule="auto"/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PostgreSQL 18, Drizzle ORM, pgAdmin 4, Docker</w:t>
            </w:r>
          </w:p>
          <w:p w:rsidR="00000000" w:rsidDel="00000000" w:rsidP="00000000" w:rsidRDefault="00000000" w:rsidRPr="00000000" w14:paraId="00000054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 semanas 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Denis Cárcamo 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Dificultad: necesidad de sincronizar el esquema relacional con 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Completado 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Se adoptó Drizzle ORM para tipado estricto en TypeScript. 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Construir programas y rutinas de variada complejidad. 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Desarrollo de microservicios (Módulo IAM Core) 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NestJS, TypeScript, Git,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@nestjs/jwt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bcrypt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4 semanas 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Diego Quioza / Denis Cárcamo 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Dificultad: resolución de errores 500 por dependencias en ejecución. </w:t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Finalizado el flujo base; pendiente la lógica RBAC multinivel. 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Realizar pruebas de calidad tanto de los productos como de los procesos. 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Pruebas y control de calidad 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Postman, terminal NestJS, depurador VS Code 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3 semanas 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Santiago Santander 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Facilitador: validación temprana de payloads y detección de duplicación de métodos 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Automatización de pruebas mediante colecciones compartidas. </w:t>
            </w:r>
          </w:p>
        </w:tc>
      </w:tr>
      <w:tr>
        <w:trPr>
          <w:cantSplit w:val="0"/>
          <w:trHeight w:val="1485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Administrar la configuración de ambientes, servicios y bases de datos. 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Containerización de la solución 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Docker, Docker Compose, WSL2 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both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2 semanas 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Diego Quioza 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40" w:line="276" w:lineRule="auto"/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Actividad en desarrollo para unificar el levantamiento de bases y servicios</w:t>
            </w:r>
          </w:p>
          <w:p w:rsidR="00000000" w:rsidDel="00000000" w:rsidP="00000000" w:rsidRDefault="00000000" w:rsidRPr="00000000" w14:paraId="00000070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both"/>
              <w:rPr>
                <w:i w:val="1"/>
                <w:iCs w:val="1"/>
                <w:color w:val="c00000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color w:val="c00000"/>
                <w:sz w:val="14"/>
                <w:szCs w:val="14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both"/>
              <w:rPr>
                <w:i w:val="1"/>
                <w:iCs w:val="1"/>
                <w:color w:val="548dd4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16"/>
                <w:szCs w:val="16"/>
                <w:rtl w:val="0"/>
              </w:rPr>
              <w:t xml:space="preserve">Priorización de Docker Compose para entorno local. </w:t>
            </w:r>
          </w:p>
        </w:tc>
      </w:tr>
    </w:tbl>
    <w:p w:rsidR="00000000" w:rsidDel="00000000" w:rsidP="00000000" w:rsidRDefault="00000000" w:rsidRPr="00000000" w14:paraId="0000007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7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Factores que nos han facilitado: 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3"/>
              </w:numPr>
              <w:spacing w:after="0" w:afterAutospacing="0"/>
              <w:ind w:left="720" w:hanging="360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Arquitectura modular desacoplada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3"/>
              </w:numPr>
              <w:ind w:left="720" w:hanging="360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Tipado de Drizzle ORM y TypeScript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Factores dificultadores: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5"/>
              </w:numPr>
              <w:ind w:left="720" w:hanging="360"/>
              <w:rPr>
                <w:color w:val="1f3864"/>
                <w:u w:val="no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Errores de compilación por duplicación de métodos y DTOs faltantes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</w:p>
          <w:p w:rsidR="00000000" w:rsidDel="00000000" w:rsidP="00000000" w:rsidRDefault="00000000" w:rsidRPr="00000000" w14:paraId="0000008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Actividades no iniciadas o con retraso:</w:t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2"/>
              </w:numPr>
              <w:spacing w:after="0" w:afterAutospacing="0" w:line="276" w:lineRule="auto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Desarrollo del Frontend de la plataforma.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2"/>
              </w:numPr>
              <w:spacing w:after="240" w:line="276" w:lineRule="auto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Implementación de Pipelines CI/CD automatizados.</w:t>
            </w:r>
          </w:p>
          <w:p w:rsidR="00000000" w:rsidDel="00000000" w:rsidP="00000000" w:rsidRDefault="00000000" w:rsidRPr="00000000" w14:paraId="0000008D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Motivos del desfase:</w:t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4"/>
              </w:numPr>
              <w:spacing w:after="240" w:line="276" w:lineRule="auto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El equipo priorizo que funcionara el backend perfectamente antes de hacer el frontend ya que es lo menos complicado del proyecto también se priorizo las relaciones de base de datos relacional y la estabilidad de las operaciones CRUD del backend sobre la interfaz visual.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Estrategias para recuperar plazos sin afectar el proyecto: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1"/>
              </w:numPr>
              <w:spacing w:after="0" w:afterAutospacing="0" w:line="276" w:lineRule="auto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Paralelización estricta por especialidades: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Diego Quioza liderará el motor de plugins en Python y la contenerización Docker; Denis Cárcamo se encargará de hacer el frontend; y Santiago Santander finalizará los Guards de autorización RBAC y la documentación interactiva en Swagger.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"/>
              </w:numPr>
              <w:spacing w:after="240" w:line="276" w:lineRule="auto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Reuniones breves de sincronización (Daily/Weekly checkpoints):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Monitoreo continuo del repositorio Git y revisión semanal frente a la carta Gantt para evitar bloqueos técnicos entre servicios</w:t>
            </w:r>
          </w:p>
          <w:p w:rsidR="00000000" w:rsidDel="00000000" w:rsidP="00000000" w:rsidRDefault="00000000" w:rsidRPr="00000000" w14:paraId="00000092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A0">
      <w:pPr>
        <w:spacing w:after="0" w:line="240" w:lineRule="auto"/>
        <w:rPr>
          <w:color w:val="595959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C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9D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E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PukVeqJQD/+7Lqa6yqjpLeU1w==">CgMxLjAyDmguZXM5dGYzYTNkZ3E4OAByITFaenZnTDktWmVQZGFCWkRvRkNrSk5ldXM5UzcxRWRZNg==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