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160"/>
          <w:szCs w:val="160"/>
        </w:rPr>
      </w:pPr>
      <w:r w:rsidDel="00000000" w:rsidR="00000000" w:rsidRPr="00000000">
        <w:rPr>
          <w:sz w:val="160"/>
          <w:szCs w:val="160"/>
          <w:rtl w:val="0"/>
        </w:rPr>
        <w:t xml:space="preserve">Retrospectiva de Sprints – Proyecto Octomation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1: Arquitectura Base, Modelado de Datos y Configuración Inicial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Configuración del repositorio Git, contenedor Docker de PostgreSQL 18, diseño del esquema inicial con Drizzle ORM y estructura base del proyecto NestJS.</w:t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2995"/>
        <w:gridCol w:w="5827"/>
        <w:tblGridChange w:id="0">
          <w:tblGrid>
            <w:gridCol w:w="2995"/>
            <w:gridCol w:w="58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funcionó bien? (Éxitos)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• Definición clara del stack tecnológico (NestJS, TypeScript, Drizzle ORM, PostgreSQL).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• Correcta modularización inicial separando DatabaseModule de la lógica de negocio.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• Creación estructurada de entidades principales (usuarios, roles, permisos).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dificultades surgieron? (Puntos de Dolor)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• Desincronización inicial de variables de entorno: Drizzle Kit no cargaba credenciales desde .env en entorno Windows (injected env (0)).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• Confusión entre puertos de red (5432 estándar vs. 5433 en configuraciones locales) que provocó errores ECONNREFUSED.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aprendimos? (Lecciones)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• Es vital forzar la carga explícita de dotenv.config() en herramientas CLI externas a NestJS como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drizzle.config.ts</w:t>
              </w:r>
            </w:hyperlink>
            <w:r w:rsidDel="00000000" w:rsidR="00000000" w:rsidRPr="00000000">
              <w:rPr>
                <w:rtl w:val="0"/>
              </w:rPr>
              <w:t xml:space="preserve">., ademas que diego pudo decirnos cual de los puertos de red ocuparemos para cada cosa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• Mantener un env.example centralizado para evitar colisiones entre los entornos locales del equipo.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Compromisos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• Estandarizar cadenas de conexión de base de datos antes de pasar a la capa de servicios.</w:t>
            </w:r>
          </w:p>
        </w:tc>
      </w:tr>
    </w:tbl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2: Core de Identidad (IAM), Autenticación y Seguridad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Implementación de endpoints de registro y login, cifrado de contraseñas con bcrypt, generación de tokens JWT y validaciones de DTOs con class-validator.</w:t>
      </w:r>
    </w:p>
    <w:tbl>
      <w:tblPr>
        <w:tblStyle w:val="Table2"/>
        <w:tblW w:w="8822.0" w:type="dxa"/>
        <w:jc w:val="left"/>
        <w:tblLayout w:type="fixed"/>
        <w:tblLook w:val="0400"/>
      </w:tblPr>
      <w:tblGrid>
        <w:gridCol w:w="2823"/>
        <w:gridCol w:w="5999"/>
        <w:tblGridChange w:id="0">
          <w:tblGrid>
            <w:gridCol w:w="2823"/>
            <w:gridCol w:w="59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funcionó bien? (Éxitos)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• Implementación exitosa de estándares de seguridad OWASP (hashing irreversible con salting factor 10).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• Generación de tokens JWT sin estado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stateless</w:t>
            </w:r>
            <w:r w:rsidDel="00000000" w:rsidR="00000000" w:rsidRPr="00000000">
              <w:rPr>
                <w:rtl w:val="0"/>
              </w:rPr>
              <w:t xml:space="preserve">) portando claims estructurados.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• Validación estricta de esquemas de entrada para evitar inyecciones o datos incompletos.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dificultades surgieron? (Puntos de Dolor)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• Errores de compilación por DTOs faltantes o mal ubicados en el árbol de directorios.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• Manejo inconsistente de excepciones HTTP al validar correos duplicados.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aprendimos? (Lecciones)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• La disciplina en la nomenclatura de archivos (*.dto.ts) previene errores de resolución en tiempo de compilación TypeScript.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• El uso de excepciones semánticas de NestJS (BadRequestException, UnauthorizedException) simplifica enormemente las pruebas de integración.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Compromisos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• Diseñar y estructurar los contratos de API y DTOs antes de implementar las funciones en el servicio, también poner un token con temporizador para poder cerrar la sesión cuando pase un tiempo determinado</w:t>
            </w:r>
          </w:p>
        </w:tc>
      </w:tr>
    </w:tbl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3: Control de Acceso (RBAC), Grupos de Trabajo y Ciclo de Vida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Transición de borrado físico a borrado lógico (</w:t>
      </w:r>
      <w:r w:rsidDel="00000000" w:rsidR="00000000" w:rsidRPr="00000000">
        <w:rPr>
          <w:i w:val="1"/>
          <w:iCs w:val="1"/>
          <w:rtl w:val="0"/>
        </w:rPr>
        <w:t xml:space="preserve">soft-delete</w:t>
      </w:r>
      <w:r w:rsidDel="00000000" w:rsidR="00000000" w:rsidRPr="00000000">
        <w:rPr>
          <w:rtl w:val="0"/>
        </w:rPr>
        <w:t xml:space="preserve"> con isActive), endpoints de activación/desactivación, tablas pivote para asignación de roles y membresía en grupos de trabajo (</w:t>
      </w:r>
      <w:r w:rsidDel="00000000" w:rsidR="00000000" w:rsidRPr="00000000">
        <w:rPr>
          <w:i w:val="1"/>
          <w:iCs w:val="1"/>
          <w:rtl w:val="0"/>
        </w:rPr>
        <w:t xml:space="preserve">workgroups</w:t>
      </w:r>
      <w:r w:rsidDel="00000000" w:rsidR="00000000" w:rsidRPr="00000000">
        <w:rPr>
          <w:rtl w:val="0"/>
        </w:rPr>
        <w:t xml:space="preserve">).</w:t>
      </w:r>
    </w:p>
    <w:tbl>
      <w:tblPr>
        <w:tblStyle w:val="Table3"/>
        <w:tblW w:w="8822.0" w:type="dxa"/>
        <w:jc w:val="left"/>
        <w:tblLayout w:type="fixed"/>
        <w:tblLook w:val="0400"/>
      </w:tblPr>
      <w:tblGrid>
        <w:gridCol w:w="2737"/>
        <w:gridCol w:w="6085"/>
        <w:tblGridChange w:id="0">
          <w:tblGrid>
            <w:gridCol w:w="2737"/>
            <w:gridCol w:w="60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funcionó bien? (Éxitos)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• Migración ágil de esquemas en caliente usando drizzle-kit push sin pérdida de datos.</w:t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• Modelado relacional N:M robusto (users_to_roles, users_to_workgroups) con borrado referencial seguro.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• Bloqueo inmediato de autenticación para cuentas inactivas en el endpoint de login.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• Inclusión dinámica de roles activos directamente en el payload del JWT.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dificultades surgieron? (Puntos de Dolor)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• El enrutador de NestJS arrojaba 404 Not Found en rutas compuestas (/iam/users/:id/deactivate) por archivos que no se habían guardado antes de compilar.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• Consultas relacionales que requerían mapeos manuales para evitar ciclos o payloads sobrecargados.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aprendimos? (Lecciones)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• El borrado lógico preserva la integridad histórica y la trazabilidad de auditoría, requisito fundamental para evitar el Shadow IT.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• Validar los cambios de esquemas relacionales tanto en consola como en herramientas gráficas (pgAdmin) antes de consumir la API en Postman.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Compromisos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• Mantener las colecciones de Postman organizadas y exportadas en el repositorio para que todo el equipo pueda reproducir las pruebas funcionales.</w:t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4: Validación Integral, Pruebas de API y Preparación de Entregables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Ejecución de pruebas funcionales de extremo a extremo, preparación de colecciones en Postman, documentación del informe APT y sincronización final en Git.</w:t>
      </w:r>
    </w:p>
    <w:tbl>
      <w:tblPr>
        <w:tblStyle w:val="Table4"/>
        <w:tblW w:w="8822.0" w:type="dxa"/>
        <w:jc w:val="left"/>
        <w:tblLayout w:type="fixed"/>
        <w:tblLook w:val="0400"/>
      </w:tblPr>
      <w:tblGrid>
        <w:gridCol w:w="2848"/>
        <w:gridCol w:w="5974"/>
        <w:tblGridChange w:id="0">
          <w:tblGrid>
            <w:gridCol w:w="2848"/>
            <w:gridCol w:w="59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 del Sprint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funcionó bien? (Éxitos)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• Cobertura completa de los casos de uso: registro, login, asignación de roles, desactivación, reactivación y consulta relacional.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• Trazabilidad total de versiones en Git con commits semánticos y ramas sincronizadas con el repositorio remoto.</w:t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• Cumplimiento del enfoque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API-First</w:t>
            </w:r>
            <w:r w:rsidDel="00000000" w:rsidR="00000000" w:rsidRPr="00000000">
              <w:rPr>
                <w:rtl w:val="0"/>
              </w:rPr>
              <w:t xml:space="preserve">, dejando contratos sólidos y testeados listos para desacoplar el motor de ejecución en Python.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dificultades surgieron? (Puntos de Dolor)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• Ajuste de alcance respecto a la arquitectura de micro-contenedores dinámicos en Docker (redefinido para post-MVP para priorizar estabilidad en la entrega).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¿Qué aprendimos? (Lecciones)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• La priorización pragmática del MVP dentro del tiempo del semestre garantizó un software funcional, testeado y robusto en lugar de funcionalidades a medio construir.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Compromisos de 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• Para la fase post-título: incorporar colas de mensajería asíncronas (RabbitMQ o Redis) para comunicar el servicio de IAM con el Automation Engine.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00553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00553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00553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553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00553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00553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00553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0553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00553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0553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0553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00553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00553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00553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00553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00553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00553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00553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00553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0553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00553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drizzle.config.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Lc44XN0e8mFoHc4RCXLqfUCtuQ==">CgMxLjA4AHIhMTN3dlBacUl3eUNaUHk0T3pZOVpjTHNHZzZXSEJVTEg2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2026-10-23T02:36:00Z</dcterms:created>
  <dc:creator>Denis Carcamo</dc:creator>
</cp:coreProperties>
</file>