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71142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Time Series Forecasting and Portfolio Optimization Using ARIMA Models on NSE Stocks</w:t>
      </w:r>
    </w:p>
    <w:p w14:paraId="1A93B30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TSA 2026 Capstone Project Report</w:t>
      </w:r>
    </w:p>
    <w:p w14:paraId="43D49CBF">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Submitted By</w:t>
      </w:r>
    </w:p>
    <w:p w14:paraId="16AACF50">
      <w:pPr>
        <w:pStyle w:val="9"/>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SAMPRIT BANERJEE</w:t>
      </w:r>
    </w:p>
    <w:p w14:paraId="75CCA1F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17806D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1. Introduction</w:t>
      </w:r>
    </w:p>
    <w:p w14:paraId="3CD30BE5">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Financial markets generate large volumes of sequential and time-dependent data, making time series analysis a highly effective approach for stock market forecasting and portfolio optimization. The primary objective of this project was to apply statistical forecasting techniques on historical NSE stock data in order to construct and evaluate a data-driven investment portfolio.</w:t>
      </w:r>
    </w:p>
    <w:p w14:paraId="348B4467">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This capstone project focused on predicting stock price movements using ARIMA-based forecasting models and implementing the resulting investment strategy on the StockGro virtual trading platform. Historical stock data from 1 January 2021 to 31 December 2025 was collected using the Yahoo Finance API through the yfinance Python library.</w:t>
      </w:r>
    </w:p>
    <w:p w14:paraId="5634F71B">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project workflow included:</w:t>
      </w:r>
    </w:p>
    <w:p w14:paraId="2518A926">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stock selection and diversification</w:t>
      </w:r>
    </w:p>
    <w:p w14:paraId="5C62F1FD">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data preprocessing and stationarity testing</w:t>
      </w:r>
    </w:p>
    <w:p w14:paraId="2A783190">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ARIMA forecasting</w:t>
      </w:r>
    </w:p>
    <w:p w14:paraId="397802F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volatility and trend analysis</w:t>
      </w:r>
    </w:p>
    <w:p w14:paraId="5A15F5D2">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portfolio construction</w:t>
      </w:r>
    </w:p>
    <w:p w14:paraId="37893948">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real-time virtual trading on StockGro</w:t>
      </w:r>
    </w:p>
    <w:p w14:paraId="78E9D2E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comparison of predicted vs actual market performance</w:t>
      </w:r>
    </w:p>
    <w:p w14:paraId="1D4CA583">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final objective was to evaluate whether time series forecasting techniques can effectively guide short-term portfolio allocation decisions under real market conditions.</w:t>
      </w:r>
    </w:p>
    <w:p w14:paraId="680D6F0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4DE46197">
      <w:pPr>
        <w:rPr>
          <w:rFonts w:hint="default" w:ascii="Times New Roman" w:hAnsi="Times New Roman" w:cs="Times New Roman"/>
        </w:rPr>
      </w:pPr>
      <w:r>
        <w:rPr>
          <w:rFonts w:hint="default" w:ascii="Times New Roman" w:hAnsi="Times New Roman" w:cs="Times New Roman"/>
        </w:rPr>
        <w:br w:type="page"/>
      </w:r>
    </w:p>
    <w:p w14:paraId="6F4AED30">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2. Stock Selection Rationale</w:t>
      </w:r>
    </w:p>
    <w:p w14:paraId="4506C224">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To ensure diversification and reduce portfolio concentration risk, stocks were selected from multiple sectors of the Indian economy. Sector diversification improves portfolio stability because different sectors react differently to market conditions.</w:t>
      </w:r>
    </w:p>
    <w:p w14:paraId="75E64BBA">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selected stocks were: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49"/>
        <w:gridCol w:w="2428"/>
      </w:tblGrid>
      <w:tr w14:paraId="1AFB6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077DEFE">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Stock</w:t>
            </w:r>
          </w:p>
        </w:tc>
        <w:tc>
          <w:tcPr>
            <w:tcW w:w="0" w:type="auto"/>
            <w:shd w:val="clear" w:color="auto" w:fill="auto"/>
            <w:vAlign w:val="center"/>
          </w:tcPr>
          <w:p w14:paraId="26B79DB7">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Sector</w:t>
            </w:r>
          </w:p>
        </w:tc>
      </w:tr>
      <w:tr w14:paraId="1DD6E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FBE4D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HDFCBANK.NS</w:t>
            </w:r>
          </w:p>
        </w:tc>
        <w:tc>
          <w:tcPr>
            <w:tcW w:w="0" w:type="auto"/>
            <w:shd w:val="clear" w:color="auto" w:fill="auto"/>
            <w:vAlign w:val="center"/>
          </w:tcPr>
          <w:p w14:paraId="4376729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Banking</w:t>
            </w:r>
          </w:p>
        </w:tc>
      </w:tr>
      <w:tr w14:paraId="7BA63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EFA0A2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TCS.NS</w:t>
            </w:r>
          </w:p>
        </w:tc>
        <w:tc>
          <w:tcPr>
            <w:tcW w:w="0" w:type="auto"/>
            <w:shd w:val="clear" w:color="auto" w:fill="auto"/>
            <w:vAlign w:val="center"/>
          </w:tcPr>
          <w:p w14:paraId="2D4DF08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Information Technology</w:t>
            </w:r>
          </w:p>
        </w:tc>
      </w:tr>
      <w:tr w14:paraId="1FE2C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0EDE1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SUNPHARMA.NS</w:t>
            </w:r>
          </w:p>
        </w:tc>
        <w:tc>
          <w:tcPr>
            <w:tcW w:w="0" w:type="auto"/>
            <w:shd w:val="clear" w:color="auto" w:fill="auto"/>
            <w:vAlign w:val="center"/>
          </w:tcPr>
          <w:p w14:paraId="280AFB1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Pharma</w:t>
            </w:r>
          </w:p>
        </w:tc>
      </w:tr>
      <w:tr w14:paraId="53C4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B43D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HINDUNILVR.NS</w:t>
            </w:r>
          </w:p>
        </w:tc>
        <w:tc>
          <w:tcPr>
            <w:tcW w:w="0" w:type="auto"/>
            <w:shd w:val="clear" w:color="auto" w:fill="auto"/>
            <w:vAlign w:val="center"/>
          </w:tcPr>
          <w:p w14:paraId="5F10B5C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FMCG</w:t>
            </w:r>
          </w:p>
        </w:tc>
      </w:tr>
      <w:tr w14:paraId="76647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F8EFB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MARUTI.NS</w:t>
            </w:r>
          </w:p>
        </w:tc>
        <w:tc>
          <w:tcPr>
            <w:tcW w:w="0" w:type="auto"/>
            <w:shd w:val="clear" w:color="auto" w:fill="auto"/>
            <w:vAlign w:val="center"/>
          </w:tcPr>
          <w:p w14:paraId="1FF9712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Automobile</w:t>
            </w:r>
          </w:p>
        </w:tc>
      </w:tr>
      <w:tr w14:paraId="72996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E3CB7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RELIANCE.NS</w:t>
            </w:r>
          </w:p>
        </w:tc>
        <w:tc>
          <w:tcPr>
            <w:tcW w:w="0" w:type="auto"/>
            <w:shd w:val="clear" w:color="auto" w:fill="auto"/>
            <w:vAlign w:val="center"/>
          </w:tcPr>
          <w:p w14:paraId="6FFBFDB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Energy</w:t>
            </w:r>
          </w:p>
        </w:tc>
      </w:tr>
    </w:tbl>
    <w:p w14:paraId="31F8B12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Selection Methodology</w:t>
      </w:r>
    </w:p>
    <w:p w14:paraId="7BF7D035">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stock universe was selected using the following approaches:</w:t>
      </w:r>
    </w:p>
    <w:p w14:paraId="6995B67B">
      <w:pPr>
        <w:pStyle w:val="4"/>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sz w:val="24"/>
          <w:szCs w:val="24"/>
        </w:rPr>
        <w:t>1. Sector Diversification</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sz w:val="24"/>
          <w:szCs w:val="24"/>
        </w:rPr>
        <w:t>Stocks were chosen from distinct industries to reduce exposure to sector-specific risk.</w:t>
      </w:r>
    </w:p>
    <w:p w14:paraId="2BFF85DE">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2. Rolling Volatility Analysis</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sz w:val="24"/>
          <w:szCs w:val="24"/>
        </w:rPr>
        <w:t>Rolling standard deviation over a 30-day window was computed to analyze volatility behavior across stocks.</w:t>
      </w:r>
    </w:p>
    <w:p w14:paraId="1FF9B0A8">
      <w:pPr>
        <w:pStyle w:val="4"/>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sz w:val="24"/>
          <w:szCs w:val="24"/>
        </w:rPr>
        <w:t>3. Trend Analysis Using STL Decomposition</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sz w:val="24"/>
          <w:szCs w:val="24"/>
        </w:rPr>
        <w:t>Seasonal and trend decomposition was used to identify long-term directional movement and cyclical behavior.</w:t>
      </w:r>
    </w:p>
    <w:p w14:paraId="119CC10C">
      <w:pPr>
        <w:pStyle w:val="9"/>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513965" cy="1552575"/>
            <wp:effectExtent l="0" t="0" r="635" b="9525"/>
            <wp:docPr id="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
                    <pic:cNvPicPr>
                      <a:picLocks noChangeAspect="1"/>
                    </pic:cNvPicPr>
                  </pic:nvPicPr>
                  <pic:blipFill>
                    <a:blip r:embed="rId4"/>
                    <a:stretch>
                      <a:fillRect/>
                    </a:stretch>
                  </pic:blipFill>
                  <pic:spPr>
                    <a:xfrm>
                      <a:off x="0" y="0"/>
                      <a:ext cx="2513965" cy="1552575"/>
                    </a:xfrm>
                    <a:prstGeom prst="rect">
                      <a:avLst/>
                    </a:prstGeom>
                    <a:noFill/>
                    <a:ln>
                      <a:noFill/>
                    </a:ln>
                  </pic:spPr>
                </pic:pic>
              </a:graphicData>
            </a:graphic>
          </wp:inline>
        </w:drawing>
      </w:r>
      <w:r>
        <w:rPr>
          <w:rFonts w:hint="default" w:ascii="Times New Roman" w:hAnsi="Times New Roman" w:cs="Times New Roman"/>
          <w:lang w:val="en-US"/>
        </w:rPr>
        <w:t xml:space="preserve">   </w:t>
      </w:r>
      <w:r>
        <w:rPr>
          <w:rFonts w:hint="default" w:ascii="Times New Roman" w:hAnsi="Times New Roman" w:cs="Times New Roman"/>
        </w:rPr>
        <w:drawing>
          <wp:inline distT="0" distB="0" distL="114300" distR="114300">
            <wp:extent cx="2511425" cy="1551940"/>
            <wp:effectExtent l="0" t="0" r="3175" b="10160"/>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
                    <pic:cNvPicPr>
                      <a:picLocks noChangeAspect="1"/>
                    </pic:cNvPicPr>
                  </pic:nvPicPr>
                  <pic:blipFill>
                    <a:blip r:embed="rId5"/>
                    <a:stretch>
                      <a:fillRect/>
                    </a:stretch>
                  </pic:blipFill>
                  <pic:spPr>
                    <a:xfrm>
                      <a:off x="0" y="0"/>
                      <a:ext cx="2511425" cy="1551940"/>
                    </a:xfrm>
                    <a:prstGeom prst="rect">
                      <a:avLst/>
                    </a:prstGeom>
                    <a:noFill/>
                    <a:ln>
                      <a:noFill/>
                    </a:ln>
                  </pic:spPr>
                </pic:pic>
              </a:graphicData>
            </a:graphic>
          </wp:inline>
        </w:drawing>
      </w:r>
    </w:p>
    <w:p w14:paraId="2031E6EF">
      <w:pPr>
        <w:pStyle w:val="4"/>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rPr>
        <w:t xml:space="preserve">4. </w:t>
      </w:r>
      <w:r>
        <w:rPr>
          <w:rFonts w:hint="default" w:ascii="Times New Roman" w:hAnsi="Times New Roman" w:cs="Times New Roman"/>
          <w:sz w:val="24"/>
          <w:szCs w:val="24"/>
        </w:rPr>
        <w:t>Market Leadership</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sz w:val="24"/>
          <w:szCs w:val="24"/>
        </w:rPr>
        <w:t>The selected companies are among the largest and most actively traded stocks in their respective sectors, ensuring strong liquidity and reliable historical data.</w:t>
      </w:r>
    </w:p>
    <w:p w14:paraId="5943EC3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0051293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3. Data Collection and Preprocessing</w:t>
      </w:r>
    </w:p>
    <w:p w14:paraId="35757B8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Dataset Specification</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9"/>
        <w:gridCol w:w="2622"/>
      </w:tblGrid>
      <w:tr w14:paraId="2E2CD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C7BE35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Parameter</w:t>
            </w:r>
          </w:p>
        </w:tc>
        <w:tc>
          <w:tcPr>
            <w:tcW w:w="0" w:type="auto"/>
            <w:shd w:val="clear" w:color="auto" w:fill="auto"/>
            <w:vAlign w:val="center"/>
          </w:tcPr>
          <w:p w14:paraId="6B3CB05E">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Value</w:t>
            </w:r>
          </w:p>
        </w:tc>
      </w:tr>
      <w:tr w14:paraId="3CC41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ED18A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Source</w:t>
            </w:r>
          </w:p>
        </w:tc>
        <w:tc>
          <w:tcPr>
            <w:tcW w:w="0" w:type="auto"/>
            <w:shd w:val="clear" w:color="auto" w:fill="auto"/>
            <w:vAlign w:val="center"/>
          </w:tcPr>
          <w:p w14:paraId="438B900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Yahoo Finance</w:t>
            </w:r>
          </w:p>
        </w:tc>
      </w:tr>
      <w:tr w14:paraId="60AF8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A4760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Library Used</w:t>
            </w:r>
          </w:p>
        </w:tc>
        <w:tc>
          <w:tcPr>
            <w:tcW w:w="0" w:type="auto"/>
            <w:shd w:val="clear" w:color="auto" w:fill="auto"/>
            <w:vAlign w:val="center"/>
          </w:tcPr>
          <w:p w14:paraId="1BCEBB1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yfinance</w:t>
            </w:r>
          </w:p>
        </w:tc>
      </w:tr>
      <w:tr w14:paraId="72C9B1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9800A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Time Period</w:t>
            </w:r>
          </w:p>
        </w:tc>
        <w:tc>
          <w:tcPr>
            <w:tcW w:w="0" w:type="auto"/>
            <w:shd w:val="clear" w:color="auto" w:fill="auto"/>
            <w:vAlign w:val="center"/>
          </w:tcPr>
          <w:p w14:paraId="6C2AA96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2021-01-01 to 2025-12-31</w:t>
            </w:r>
          </w:p>
        </w:tc>
      </w:tr>
      <w:tr w14:paraId="19926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EA4BF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Frequency</w:t>
            </w:r>
          </w:p>
        </w:tc>
        <w:tc>
          <w:tcPr>
            <w:tcW w:w="0" w:type="auto"/>
            <w:shd w:val="clear" w:color="auto" w:fill="auto"/>
            <w:vAlign w:val="center"/>
          </w:tcPr>
          <w:p w14:paraId="7D4B696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Daily</w:t>
            </w:r>
          </w:p>
        </w:tc>
      </w:tr>
      <w:tr w14:paraId="57524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3D27E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Split Strategy</w:t>
            </w:r>
          </w:p>
        </w:tc>
        <w:tc>
          <w:tcPr>
            <w:tcW w:w="0" w:type="auto"/>
            <w:shd w:val="clear" w:color="auto" w:fill="auto"/>
            <w:vAlign w:val="center"/>
          </w:tcPr>
          <w:p w14:paraId="5637172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Train/Test</w:t>
            </w:r>
          </w:p>
        </w:tc>
      </w:tr>
    </w:tbl>
    <w:p w14:paraId="1ED7023C">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training data consisted of all observations before July 2025, while the last six months of data were used for testing and validation.</w:t>
      </w:r>
    </w:p>
    <w:p w14:paraId="5F29B1F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 Value Handling</w:t>
      </w:r>
    </w:p>
    <w:p w14:paraId="31B05AA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 values were handled using forward fill and backward fill techniques.</w:t>
      </w:r>
    </w:p>
    <w:p w14:paraId="299A4E77">
      <w:pPr>
        <w:pStyle w:val="8"/>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stock_data[stock] = stock_data[stock].ffill().bfill()</w:t>
      </w:r>
    </w:p>
    <w:p w14:paraId="0E98FD5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Stationarity Testing</w:t>
      </w:r>
    </w:p>
    <w:p w14:paraId="7D299998">
      <w:pPr>
        <w:pStyle w:val="9"/>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Augmented Dickey-Fuller (ADF) test was used to determine whether the stock price series were stationary.</w:t>
      </w:r>
    </w:p>
    <w:p w14:paraId="646D4FB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Null Hypothesis: series is non-stationary</w:t>
      </w:r>
    </w:p>
    <w:p w14:paraId="6E5143DC">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Alternative Hypothesis: series is stationary</w:t>
      </w:r>
    </w:p>
    <w:p w14:paraId="05F5ECCF">
      <w:pPr>
        <w:pStyle w:val="9"/>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If the p-value exceeded 0.05, differencing was applied.</w:t>
      </w:r>
    </w:p>
    <w:p w14:paraId="2BE4401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Train-Test Split</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69"/>
        <w:gridCol w:w="2782"/>
      </w:tblGrid>
      <w:tr w14:paraId="42A849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5BD8ED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Dataset</w:t>
            </w:r>
          </w:p>
        </w:tc>
        <w:tc>
          <w:tcPr>
            <w:tcW w:w="0" w:type="auto"/>
            <w:shd w:val="clear" w:color="auto" w:fill="auto"/>
            <w:vAlign w:val="center"/>
          </w:tcPr>
          <w:p w14:paraId="05FF069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Period</w:t>
            </w:r>
          </w:p>
        </w:tc>
      </w:tr>
      <w:tr w14:paraId="3E637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C06EA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Training Set</w:t>
            </w:r>
          </w:p>
        </w:tc>
        <w:tc>
          <w:tcPr>
            <w:tcW w:w="0" w:type="auto"/>
            <w:shd w:val="clear" w:color="auto" w:fill="auto"/>
            <w:vAlign w:val="center"/>
          </w:tcPr>
          <w:p w14:paraId="48EC62C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Before July 2025</w:t>
            </w:r>
          </w:p>
        </w:tc>
      </w:tr>
      <w:tr w14:paraId="05CE1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66CD5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Testing Set</w:t>
            </w:r>
          </w:p>
        </w:tc>
        <w:tc>
          <w:tcPr>
            <w:tcW w:w="0" w:type="auto"/>
            <w:shd w:val="clear" w:color="auto" w:fill="auto"/>
            <w:vAlign w:val="center"/>
          </w:tcPr>
          <w:p w14:paraId="20DD6DA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July 2025 – December 2025</w:t>
            </w:r>
          </w:p>
        </w:tc>
      </w:tr>
    </w:tbl>
    <w:p w14:paraId="27E143FC">
      <w:pPr>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6DF6850E">
      <w:pPr>
        <w:rPr>
          <w:rFonts w:hint="default" w:ascii="Times New Roman" w:hAnsi="Times New Roman" w:cs="Times New Roman"/>
        </w:rPr>
      </w:pPr>
      <w:r>
        <w:rPr>
          <w:rFonts w:hint="default" w:ascii="Times New Roman" w:hAnsi="Times New Roman" w:cs="Times New Roman"/>
        </w:rPr>
        <w:br w:type="page"/>
      </w:r>
    </w:p>
    <w:p w14:paraId="57F26F04">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4. Forecasting Methodology</w:t>
      </w:r>
    </w:p>
    <w:p w14:paraId="323A1E3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ARIMA Model</w:t>
      </w:r>
    </w:p>
    <w:p w14:paraId="223651D5">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AutoRegressive Integrated Moving Average (ARIMA) model was used for forecasting future stock prices.</w:t>
      </w:r>
    </w:p>
    <w:p w14:paraId="46133DBE">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ARIMA combines:</w:t>
      </w:r>
    </w:p>
    <w:p w14:paraId="6A390440">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AutoRegression (AR)</w:t>
      </w:r>
    </w:p>
    <w:p w14:paraId="31E9A675">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Integrated differencing (I)</w:t>
      </w:r>
    </w:p>
    <w:p w14:paraId="72DC8E8B">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Moving Average (MA)</w:t>
      </w:r>
    </w:p>
    <w:p w14:paraId="043A80EB">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p, d, q parameters were automatically optimized using the auto_arima function.</w:t>
      </w:r>
    </w:p>
    <w:p w14:paraId="161CFA2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Forecasting Procedure</w:t>
      </w:r>
    </w:p>
    <w:p w14:paraId="655AC120">
      <w:pPr>
        <w:pStyle w:val="9"/>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each stock:</w:t>
      </w:r>
    </w:p>
    <w:p w14:paraId="484B2B58">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Historical training data was used to fit the ARIMA model.</w:t>
      </w:r>
    </w:p>
    <w:p w14:paraId="05AFBB28">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Predictions were generated for the testing period.</w:t>
      </w:r>
    </w:p>
    <w:p w14:paraId="28F7AB47">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Future forecasts were generated for the next 5 trading days.</w:t>
      </w:r>
    </w:p>
    <w:p w14:paraId="42735904">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Model performance metrics were computed.</w:t>
      </w:r>
    </w:p>
    <w:p w14:paraId="0A0163E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Evaluation Metrics</w:t>
      </w:r>
    </w:p>
    <w:p w14:paraId="23C55D0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b w:val="0"/>
          <w:bCs w:val="0"/>
          <w:sz w:val="24"/>
          <w:szCs w:val="24"/>
        </w:rPr>
        <w:t>Root Mean Squared Error (RMSE)</w:t>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rPr>
        <w:t>Measures forecasting error magnitude.</w:t>
      </w:r>
    </w:p>
    <w:p w14:paraId="54AAC179">
      <w:pPr>
        <w:pStyle w:val="4"/>
        <w:keepNext w:val="0"/>
        <w:keepLines w:val="0"/>
        <w:widowControl/>
        <w:suppressLineNumbers w:val="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Mean Absolute Percentage Error (MAPE)</w:t>
      </w:r>
      <w:r>
        <w:rPr>
          <w:rFonts w:hint="default" w:ascii="Times New Roman" w:hAnsi="Times New Roman" w:cs="Times New Roman"/>
          <w:b w:val="0"/>
          <w:bCs w:val="0"/>
          <w:sz w:val="24"/>
          <w:szCs w:val="24"/>
          <w:lang w:val="en-US"/>
        </w:rPr>
        <w:t>-</w:t>
      </w:r>
      <w:r>
        <w:rPr>
          <w:rFonts w:hint="default" w:ascii="Times New Roman" w:hAnsi="Times New Roman" w:cs="Times New Roman"/>
          <w:b w:val="0"/>
          <w:bCs w:val="0"/>
          <w:sz w:val="24"/>
          <w:szCs w:val="24"/>
        </w:rPr>
        <w:t>Measures percentage forecasting accuracy.</w:t>
      </w:r>
    </w:p>
    <w:p w14:paraId="52299F0B">
      <w:pPr>
        <w:pStyle w:val="4"/>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Directional Accuracy</w:t>
      </w:r>
      <w:r>
        <w:rPr>
          <w:rFonts w:hint="default" w:ascii="Times New Roman" w:hAnsi="Times New Roman" w:cs="Times New Roman"/>
          <w:b w:val="0"/>
          <w:bCs w:val="0"/>
          <w:sz w:val="24"/>
          <w:szCs w:val="24"/>
          <w:lang w:val="en-US"/>
        </w:rPr>
        <w:t>-</w:t>
      </w:r>
      <w:r>
        <w:rPr>
          <w:rFonts w:hint="default" w:ascii="Times New Roman" w:hAnsi="Times New Roman" w:cs="Times New Roman"/>
          <w:b w:val="0"/>
          <w:bCs w:val="0"/>
          <w:sz w:val="24"/>
          <w:szCs w:val="24"/>
        </w:rPr>
        <w:t>Measures whether the model correctly predicted stock movement direction.</w:t>
      </w:r>
    </w:p>
    <w:p w14:paraId="3549C29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45662B6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br w:type="textWrapping"/>
      </w:r>
    </w:p>
    <w:p w14:paraId="477193ED">
      <w:pPr>
        <w:rPr>
          <w:rFonts w:hint="default" w:ascii="Times New Roman" w:hAnsi="Times New Roman" w:cs="Times New Roman"/>
        </w:rPr>
      </w:pPr>
      <w:r>
        <w:rPr>
          <w:rFonts w:hint="default" w:ascii="Times New Roman" w:hAnsi="Times New Roman" w:cs="Times New Roman"/>
        </w:rPr>
        <w:br w:type="page"/>
      </w:r>
    </w:p>
    <w:p w14:paraId="09364113">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5. Volatility and Trend Analysis</w:t>
      </w:r>
    </w:p>
    <w:p w14:paraId="3EC31D5A">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Log Return Computation</w:t>
      </w:r>
    </w:p>
    <w:p w14:paraId="372336C3">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Log returns were computed using:</w:t>
      </w:r>
      <w:r>
        <w:rPr>
          <w:rFonts w:hint="default" w:ascii="Times New Roman" w:hAnsi="Times New Roman" w:cs="Times New Roman"/>
          <w:lang w:val="en-US"/>
        </w:rPr>
        <w:t xml:space="preserve">  </w:t>
      </w:r>
      <w:r>
        <w:rPr>
          <w:rFonts w:hint="default" w:ascii="Times New Roman" w:hAnsi="Times New Roman" w:cs="Times New Roman"/>
        </w:rPr>
        <w:t>r(t) = ln(P(t) / P(t-1))</w:t>
      </w:r>
    </w:p>
    <w:p w14:paraId="6EB48DD9">
      <w:pPr>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rPr>
        <w:t>where:</w:t>
      </w:r>
      <w:r>
        <w:rPr>
          <w:rFonts w:hint="default" w:ascii="Times New Roman" w:hAnsi="Times New Roman" w:cs="Times New Roman"/>
          <w:sz w:val="24"/>
          <w:szCs w:val="24"/>
          <w:lang w:val="en-US"/>
        </w:rPr>
        <w:t xml:space="preserve">  </w:t>
      </w:r>
      <w:r>
        <w:rPr>
          <w:rFonts w:hint="default" w:ascii="Times New Roman" w:hAnsi="Times New Roman" w:cs="Times New Roman"/>
          <w:lang w:val="en-US"/>
        </w:rPr>
        <w:t xml:space="preserve">  </w:t>
      </w: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P(t) is current closing price</w:t>
      </w:r>
    </w:p>
    <w:p w14:paraId="62B32B35">
      <w:pPr>
        <w:keepNext w:val="0"/>
        <w:keepLines w:val="0"/>
        <w:widowControl/>
        <w:suppressLineNumbers w:val="0"/>
        <w:ind w:firstLine="840" w:firstLineChars="35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P(t-1) is previous closing price</w:t>
      </w:r>
    </w:p>
    <w:p w14:paraId="172FB61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Rolling Volatility</w:t>
      </w:r>
    </w:p>
    <w:p w14:paraId="561C6477">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A 30-day rolling standard deviation of log returns was used to estimate short-term market volatility.</w:t>
      </w:r>
    </w:p>
    <w:p w14:paraId="2B5BF33A">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2546350" cy="1066165"/>
            <wp:effectExtent l="0" t="0" r="6350" b="635"/>
            <wp:docPr id="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7"/>
                    <pic:cNvPicPr>
                      <a:picLocks noChangeAspect="1"/>
                    </pic:cNvPicPr>
                  </pic:nvPicPr>
                  <pic:blipFill>
                    <a:blip r:embed="rId6"/>
                    <a:stretch>
                      <a:fillRect/>
                    </a:stretch>
                  </pic:blipFill>
                  <pic:spPr>
                    <a:xfrm>
                      <a:off x="0" y="0"/>
                      <a:ext cx="2546350" cy="1066165"/>
                    </a:xfrm>
                    <a:prstGeom prst="rect">
                      <a:avLst/>
                    </a:prstGeom>
                    <a:noFill/>
                    <a:ln>
                      <a:noFill/>
                    </a:ln>
                  </pic:spPr>
                </pic:pic>
              </a:graphicData>
            </a:graphic>
          </wp:inline>
        </w:drawing>
      </w:r>
      <w:r>
        <w:rPr>
          <w:rFonts w:hint="default" w:ascii="Times New Roman" w:hAnsi="Times New Roman" w:cs="Times New Roman"/>
          <w:lang w:val="en-US"/>
        </w:rPr>
        <w:t xml:space="preserve">  </w:t>
      </w:r>
      <w:r>
        <w:rPr>
          <w:rFonts w:hint="default" w:ascii="Times New Roman" w:hAnsi="Times New Roman" w:cs="Times New Roman"/>
        </w:rPr>
        <w:drawing>
          <wp:inline distT="0" distB="0" distL="114300" distR="114300">
            <wp:extent cx="2395855" cy="1064260"/>
            <wp:effectExtent l="0" t="0" r="4445" b="2540"/>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8"/>
                    <pic:cNvPicPr>
                      <a:picLocks noChangeAspect="1"/>
                    </pic:cNvPicPr>
                  </pic:nvPicPr>
                  <pic:blipFill>
                    <a:blip r:embed="rId7"/>
                    <a:stretch>
                      <a:fillRect/>
                    </a:stretch>
                  </pic:blipFill>
                  <pic:spPr>
                    <a:xfrm>
                      <a:off x="0" y="0"/>
                      <a:ext cx="2395855" cy="1064260"/>
                    </a:xfrm>
                    <a:prstGeom prst="rect">
                      <a:avLst/>
                    </a:prstGeom>
                    <a:noFill/>
                    <a:ln>
                      <a:noFill/>
                    </a:ln>
                  </pic:spPr>
                </pic:pic>
              </a:graphicData>
            </a:graphic>
          </wp:inline>
        </w:drawing>
      </w:r>
    </w:p>
    <w:p w14:paraId="04247338">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2512695" cy="1051560"/>
            <wp:effectExtent l="0" t="0" r="1905" b="2540"/>
            <wp:docPr id="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9"/>
                    <pic:cNvPicPr>
                      <a:picLocks noChangeAspect="1"/>
                    </pic:cNvPicPr>
                  </pic:nvPicPr>
                  <pic:blipFill>
                    <a:blip r:embed="rId8"/>
                    <a:stretch>
                      <a:fillRect/>
                    </a:stretch>
                  </pic:blipFill>
                  <pic:spPr>
                    <a:xfrm>
                      <a:off x="0" y="0"/>
                      <a:ext cx="2512695" cy="1051560"/>
                    </a:xfrm>
                    <a:prstGeom prst="snip2SameRect">
                      <a:avLst/>
                    </a:prstGeom>
                    <a:noFill/>
                    <a:ln>
                      <a:noFill/>
                    </a:ln>
                  </pic:spPr>
                </pic:pic>
              </a:graphicData>
            </a:graphic>
          </wp:inline>
        </w:drawing>
      </w:r>
      <w:r>
        <w:rPr>
          <w:rFonts w:hint="default" w:ascii="Times New Roman" w:hAnsi="Times New Roman" w:cs="Times New Roman"/>
          <w:lang w:val="en-US"/>
        </w:rPr>
        <w:t xml:space="preserve">   </w:t>
      </w:r>
      <w:r>
        <w:rPr>
          <w:rFonts w:hint="default" w:ascii="Times New Roman" w:hAnsi="Times New Roman" w:cs="Times New Roman"/>
        </w:rPr>
        <w:drawing>
          <wp:inline distT="0" distB="0" distL="114300" distR="114300">
            <wp:extent cx="2444115" cy="1014095"/>
            <wp:effectExtent l="0" t="0" r="6985" b="1905"/>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2444115" cy="1014095"/>
                    </a:xfrm>
                    <a:prstGeom prst="rect">
                      <a:avLst/>
                    </a:prstGeom>
                    <a:noFill/>
                    <a:ln>
                      <a:noFill/>
                    </a:ln>
                  </pic:spPr>
                </pic:pic>
              </a:graphicData>
            </a:graphic>
          </wp:inline>
        </w:drawing>
      </w:r>
    </w:p>
    <w:p w14:paraId="39AB06E4">
      <w:pPr>
        <w:pStyle w:val="9"/>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520950" cy="975360"/>
            <wp:effectExtent l="0" t="0" r="6350" b="2540"/>
            <wp:docPr id="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2"/>
                    <pic:cNvPicPr>
                      <a:picLocks noChangeAspect="1"/>
                    </pic:cNvPicPr>
                  </pic:nvPicPr>
                  <pic:blipFill>
                    <a:blip r:embed="rId10"/>
                    <a:stretch>
                      <a:fillRect/>
                    </a:stretch>
                  </pic:blipFill>
                  <pic:spPr>
                    <a:xfrm>
                      <a:off x="0" y="0"/>
                      <a:ext cx="2520950" cy="975360"/>
                    </a:xfrm>
                    <a:prstGeom prst="rect">
                      <a:avLst/>
                    </a:prstGeom>
                    <a:noFill/>
                    <a:ln>
                      <a:noFill/>
                    </a:ln>
                  </pic:spPr>
                </pic:pic>
              </a:graphicData>
            </a:graphic>
          </wp:inline>
        </w:drawing>
      </w:r>
      <w:r>
        <w:rPr>
          <w:rFonts w:hint="default" w:ascii="Times New Roman" w:hAnsi="Times New Roman" w:cs="Times New Roman"/>
          <w:lang w:val="en-US"/>
        </w:rPr>
        <w:t xml:space="preserve">  </w:t>
      </w:r>
      <w:r>
        <w:rPr>
          <w:rFonts w:hint="default" w:ascii="Times New Roman" w:hAnsi="Times New Roman" w:cs="Times New Roman"/>
        </w:rPr>
        <w:drawing>
          <wp:inline distT="0" distB="0" distL="114300" distR="114300">
            <wp:extent cx="2489200" cy="1000760"/>
            <wp:effectExtent l="0" t="0" r="0" b="2540"/>
            <wp:docPr id="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3"/>
                    <pic:cNvPicPr>
                      <a:picLocks noChangeAspect="1"/>
                    </pic:cNvPicPr>
                  </pic:nvPicPr>
                  <pic:blipFill>
                    <a:blip r:embed="rId11"/>
                    <a:stretch>
                      <a:fillRect/>
                    </a:stretch>
                  </pic:blipFill>
                  <pic:spPr>
                    <a:xfrm>
                      <a:off x="0" y="0"/>
                      <a:ext cx="2489200" cy="1000760"/>
                    </a:xfrm>
                    <a:prstGeom prst="rect">
                      <a:avLst/>
                    </a:prstGeom>
                    <a:noFill/>
                    <a:ln>
                      <a:noFill/>
                    </a:ln>
                  </pic:spPr>
                </pic:pic>
              </a:graphicData>
            </a:graphic>
          </wp:inline>
        </w:drawing>
      </w:r>
    </w:p>
    <w:p w14:paraId="3D2D547E">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STL Decomposition</w:t>
      </w:r>
    </w:p>
    <w:p w14:paraId="5F308E5C">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Seasonal Trend decomposition using Loess (STL) was applied to separate:</w:t>
      </w:r>
    </w:p>
    <w:p w14:paraId="511BD6F0">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trend component</w:t>
      </w:r>
    </w:p>
    <w:p w14:paraId="71F3BD92">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seasonal component</w:t>
      </w:r>
    </w:p>
    <w:p w14:paraId="1428E4E3">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sz w:val="24"/>
          <w:szCs w:val="24"/>
        </w:rPr>
        <w:t>residual/noise component</w:t>
      </w:r>
    </w:p>
    <w:p w14:paraId="3AD7782C">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decomposition plots revealed that most selected stocks demonstrated long-term upward trends with moderate seasonal fluctuations.</w:t>
      </w:r>
    </w:p>
    <w:p w14:paraId="5017222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A325BD7">
      <w:pPr>
        <w:rPr>
          <w:rFonts w:hint="default" w:ascii="Times New Roman" w:hAnsi="Times New Roman" w:cs="Times New Roman"/>
        </w:rPr>
      </w:pPr>
      <w:r>
        <w:rPr>
          <w:rFonts w:hint="default" w:ascii="Times New Roman" w:hAnsi="Times New Roman" w:cs="Times New Roman"/>
        </w:rPr>
        <w:br w:type="page"/>
      </w:r>
    </w:p>
    <w:p w14:paraId="4A0576F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6. Correlation and Diversification Analysis</w:t>
      </w:r>
    </w:p>
    <w:p w14:paraId="17CAB65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To minimize portfolio-level risk, correlation analysis was performed across all selected stocks.</w:t>
      </w:r>
    </w:p>
    <w:p w14:paraId="5A64B32A">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A correlation heatmap was generated using percentage returns.</w:t>
      </w:r>
    </w:p>
    <w:p w14:paraId="0E787936">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4745355" cy="4295775"/>
            <wp:effectExtent l="0" t="0" r="4445" b="9525"/>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pic:cNvPicPr>
                      <a:picLocks noChangeAspect="1"/>
                    </pic:cNvPicPr>
                  </pic:nvPicPr>
                  <pic:blipFill>
                    <a:blip r:embed="rId12"/>
                    <a:stretch>
                      <a:fillRect/>
                    </a:stretch>
                  </pic:blipFill>
                  <pic:spPr>
                    <a:xfrm>
                      <a:off x="0" y="0"/>
                      <a:ext cx="4745355" cy="4295775"/>
                    </a:xfrm>
                    <a:prstGeom prst="rect">
                      <a:avLst/>
                    </a:prstGeom>
                    <a:noFill/>
                    <a:ln>
                      <a:noFill/>
                    </a:ln>
                  </pic:spPr>
                </pic:pic>
              </a:graphicData>
            </a:graphic>
          </wp:inline>
        </w:drawing>
      </w:r>
    </w:p>
    <w:p w14:paraId="543714E2">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analysis showed that:</w:t>
      </w:r>
    </w:p>
    <w:p w14:paraId="6CA68C19">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sector diversification reduced correlation concentration</w:t>
      </w:r>
    </w:p>
    <w:p w14:paraId="308224BB">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banking and FMCG stocks behaved more defensively</w:t>
      </w:r>
    </w:p>
    <w:p w14:paraId="6154F284">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IT and automobile sectors displayed higher volatility</w:t>
      </w:r>
    </w:p>
    <w:p w14:paraId="4EC68859">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This diversification strategy helped reduce overall portfolio risk during the live trading window.</w:t>
      </w:r>
    </w:p>
    <w:p w14:paraId="60FB61B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283FB21D">
      <w:pPr>
        <w:rPr>
          <w:rFonts w:hint="default" w:ascii="Times New Roman" w:hAnsi="Times New Roman" w:cs="Times New Roman"/>
        </w:rPr>
      </w:pPr>
      <w:r>
        <w:rPr>
          <w:rFonts w:hint="default" w:ascii="Times New Roman" w:hAnsi="Times New Roman" w:cs="Times New Roman"/>
        </w:rPr>
        <w:br w:type="page"/>
      </w:r>
    </w:p>
    <w:p w14:paraId="0E421A7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7. Portfolio Construction</w:t>
      </w:r>
    </w:p>
    <w:p w14:paraId="2DD7B7DA">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Portfolio allocation was based on:</w:t>
      </w:r>
    </w:p>
    <w:p w14:paraId="1362F74A">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volatility-aware weighting</w:t>
      </w:r>
    </w:p>
    <w:p w14:paraId="46AAF30B">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forecast-guided allocation</w:t>
      </w:r>
    </w:p>
    <w:p w14:paraId="65B116D0">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diversification strategy</w:t>
      </w:r>
    </w:p>
    <w:p w14:paraId="71347DE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Volatility-Aware Weighting</w:t>
      </w:r>
    </w:p>
    <w:p w14:paraId="69E635C7">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Stocks with lower predicted volatility received larger allocations.</w:t>
      </w:r>
    </w:p>
    <w:p w14:paraId="1C0D25D5">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weighting formula used was:</w:t>
      </w:r>
    </w:p>
    <w:p w14:paraId="7AB6F1D6">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w(i) = (1 / sigma(i)) / SUM(1 / sigma(j))</w:t>
      </w:r>
    </w:p>
    <w:p w14:paraId="088ADC89">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where sigma(i) represents predicted volatility.</w:t>
      </w:r>
    </w:p>
    <w:p w14:paraId="7652DC7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Final Portfolio Allocation</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49"/>
        <w:gridCol w:w="874"/>
        <w:gridCol w:w="1267"/>
        <w:gridCol w:w="2289"/>
      </w:tblGrid>
      <w:tr w14:paraId="337A5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9667F45">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Stock</w:t>
            </w:r>
          </w:p>
        </w:tc>
        <w:tc>
          <w:tcPr>
            <w:tcW w:w="0" w:type="auto"/>
            <w:shd w:val="clear" w:color="auto" w:fill="auto"/>
            <w:vAlign w:val="center"/>
          </w:tcPr>
          <w:p w14:paraId="24911766">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Sector</w:t>
            </w:r>
          </w:p>
        </w:tc>
        <w:tc>
          <w:tcPr>
            <w:tcW w:w="0" w:type="auto"/>
            <w:shd w:val="clear" w:color="auto" w:fill="auto"/>
            <w:vAlign w:val="center"/>
          </w:tcPr>
          <w:p w14:paraId="71B510F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Weight (%)</w:t>
            </w:r>
          </w:p>
        </w:tc>
        <w:tc>
          <w:tcPr>
            <w:tcW w:w="0" w:type="auto"/>
            <w:shd w:val="clear" w:color="auto" w:fill="auto"/>
            <w:vAlign w:val="center"/>
          </w:tcPr>
          <w:p w14:paraId="4EE4F63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Allocated Amount (₹)</w:t>
            </w:r>
          </w:p>
        </w:tc>
      </w:tr>
      <w:tr w14:paraId="6F1E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291D1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HDFCBANK.NS</w:t>
            </w:r>
          </w:p>
        </w:tc>
        <w:tc>
          <w:tcPr>
            <w:tcW w:w="0" w:type="auto"/>
            <w:shd w:val="clear" w:color="auto" w:fill="auto"/>
            <w:vAlign w:val="center"/>
          </w:tcPr>
          <w:p w14:paraId="2A05FB5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Banking</w:t>
            </w:r>
          </w:p>
        </w:tc>
        <w:tc>
          <w:tcPr>
            <w:tcW w:w="0" w:type="auto"/>
            <w:shd w:val="clear" w:color="auto" w:fill="auto"/>
            <w:vAlign w:val="center"/>
          </w:tcPr>
          <w:p w14:paraId="004B76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17.06</w:t>
            </w:r>
          </w:p>
        </w:tc>
        <w:tc>
          <w:tcPr>
            <w:tcW w:w="0" w:type="auto"/>
            <w:shd w:val="clear" w:color="auto" w:fill="auto"/>
            <w:vAlign w:val="center"/>
          </w:tcPr>
          <w:p w14:paraId="0786A64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170569.02</w:t>
            </w:r>
          </w:p>
        </w:tc>
      </w:tr>
      <w:tr w14:paraId="37827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C6039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TCS.NS</w:t>
            </w:r>
          </w:p>
        </w:tc>
        <w:tc>
          <w:tcPr>
            <w:tcW w:w="0" w:type="auto"/>
            <w:shd w:val="clear" w:color="auto" w:fill="auto"/>
            <w:vAlign w:val="center"/>
          </w:tcPr>
          <w:p w14:paraId="053B9BB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IT</w:t>
            </w:r>
          </w:p>
        </w:tc>
        <w:tc>
          <w:tcPr>
            <w:tcW w:w="0" w:type="auto"/>
            <w:shd w:val="clear" w:color="auto" w:fill="auto"/>
            <w:vAlign w:val="center"/>
          </w:tcPr>
          <w:p w14:paraId="404A5D2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16.94</w:t>
            </w:r>
          </w:p>
        </w:tc>
        <w:tc>
          <w:tcPr>
            <w:tcW w:w="0" w:type="auto"/>
            <w:shd w:val="clear" w:color="auto" w:fill="auto"/>
            <w:vAlign w:val="center"/>
          </w:tcPr>
          <w:p w14:paraId="128FA55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169364.68</w:t>
            </w:r>
          </w:p>
        </w:tc>
      </w:tr>
      <w:tr w14:paraId="3412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FD2D2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SUNPHARMA.NS</w:t>
            </w:r>
          </w:p>
        </w:tc>
        <w:tc>
          <w:tcPr>
            <w:tcW w:w="0" w:type="auto"/>
            <w:shd w:val="clear" w:color="auto" w:fill="auto"/>
            <w:vAlign w:val="center"/>
          </w:tcPr>
          <w:p w14:paraId="3AF6086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Pharma</w:t>
            </w:r>
          </w:p>
        </w:tc>
        <w:tc>
          <w:tcPr>
            <w:tcW w:w="0" w:type="auto"/>
            <w:shd w:val="clear" w:color="auto" w:fill="auto"/>
            <w:vAlign w:val="center"/>
          </w:tcPr>
          <w:p w14:paraId="5A0A1E1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17.07</w:t>
            </w:r>
          </w:p>
        </w:tc>
        <w:tc>
          <w:tcPr>
            <w:tcW w:w="0" w:type="auto"/>
            <w:shd w:val="clear" w:color="auto" w:fill="auto"/>
            <w:vAlign w:val="center"/>
          </w:tcPr>
          <w:p w14:paraId="3299F78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170747.89</w:t>
            </w:r>
          </w:p>
        </w:tc>
      </w:tr>
      <w:tr w14:paraId="5E183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AF4BD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HINDUNILVR.NS</w:t>
            </w:r>
          </w:p>
        </w:tc>
        <w:tc>
          <w:tcPr>
            <w:tcW w:w="0" w:type="auto"/>
            <w:shd w:val="clear" w:color="auto" w:fill="auto"/>
            <w:vAlign w:val="center"/>
          </w:tcPr>
          <w:p w14:paraId="100D346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FMCG</w:t>
            </w:r>
          </w:p>
        </w:tc>
        <w:tc>
          <w:tcPr>
            <w:tcW w:w="0" w:type="auto"/>
            <w:shd w:val="clear" w:color="auto" w:fill="auto"/>
            <w:vAlign w:val="center"/>
          </w:tcPr>
          <w:p w14:paraId="2BDF840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17.65</w:t>
            </w:r>
          </w:p>
        </w:tc>
        <w:tc>
          <w:tcPr>
            <w:tcW w:w="0" w:type="auto"/>
            <w:shd w:val="clear" w:color="auto" w:fill="auto"/>
            <w:vAlign w:val="center"/>
          </w:tcPr>
          <w:p w14:paraId="5115070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176461.35</w:t>
            </w:r>
          </w:p>
        </w:tc>
      </w:tr>
      <w:tr w14:paraId="7EBBC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B47F0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MARUTI.NS</w:t>
            </w:r>
          </w:p>
        </w:tc>
        <w:tc>
          <w:tcPr>
            <w:tcW w:w="0" w:type="auto"/>
            <w:shd w:val="clear" w:color="auto" w:fill="auto"/>
            <w:vAlign w:val="center"/>
          </w:tcPr>
          <w:p w14:paraId="49BECEE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Auto</w:t>
            </w:r>
          </w:p>
        </w:tc>
        <w:tc>
          <w:tcPr>
            <w:tcW w:w="0" w:type="auto"/>
            <w:shd w:val="clear" w:color="auto" w:fill="auto"/>
            <w:vAlign w:val="center"/>
          </w:tcPr>
          <w:p w14:paraId="458EC8C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15.56</w:t>
            </w:r>
          </w:p>
        </w:tc>
        <w:tc>
          <w:tcPr>
            <w:tcW w:w="0" w:type="auto"/>
            <w:shd w:val="clear" w:color="auto" w:fill="auto"/>
            <w:vAlign w:val="center"/>
          </w:tcPr>
          <w:p w14:paraId="5CDE3F6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155577.80</w:t>
            </w:r>
          </w:p>
        </w:tc>
      </w:tr>
      <w:tr w14:paraId="2EA1A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0050E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RELIANCE.NS</w:t>
            </w:r>
          </w:p>
        </w:tc>
        <w:tc>
          <w:tcPr>
            <w:tcW w:w="0" w:type="auto"/>
            <w:shd w:val="clear" w:color="auto" w:fill="auto"/>
            <w:vAlign w:val="center"/>
          </w:tcPr>
          <w:p w14:paraId="2473330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Energy</w:t>
            </w:r>
          </w:p>
        </w:tc>
        <w:tc>
          <w:tcPr>
            <w:tcW w:w="0" w:type="auto"/>
            <w:shd w:val="clear" w:color="auto" w:fill="auto"/>
            <w:vAlign w:val="center"/>
          </w:tcPr>
          <w:p w14:paraId="0699C52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15.73</w:t>
            </w:r>
          </w:p>
        </w:tc>
        <w:tc>
          <w:tcPr>
            <w:tcW w:w="0" w:type="auto"/>
            <w:shd w:val="clear" w:color="auto" w:fill="auto"/>
            <w:vAlign w:val="center"/>
          </w:tcPr>
          <w:p w14:paraId="68BDFCD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157279.27</w:t>
            </w:r>
          </w:p>
        </w:tc>
      </w:tr>
    </w:tbl>
    <w:p w14:paraId="74E40002">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Total capital deployed: ₹10,00,000</w:t>
      </w:r>
    </w:p>
    <w:p w14:paraId="43363A71">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7BEB4FF5">
      <w:pPr>
        <w:rPr>
          <w:rFonts w:hint="default" w:ascii="Times New Roman" w:hAnsi="Times New Roman" w:cs="Times New Roman"/>
        </w:rPr>
      </w:pPr>
      <w:r>
        <w:rPr>
          <w:rFonts w:hint="default" w:ascii="Times New Roman" w:hAnsi="Times New Roman" w:cs="Times New Roman"/>
        </w:rPr>
        <w:br w:type="page"/>
      </w:r>
    </w:p>
    <w:p w14:paraId="3AE19165">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8. Model Evaluation</w:t>
      </w:r>
    </w:p>
    <w:p w14:paraId="27F564DB">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ARIMA model was evaluated using historical testing data.</w:t>
      </w:r>
    </w:p>
    <w:p w14:paraId="4D14C482">
      <w:pPr>
        <w:pStyle w:val="9"/>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3909060" cy="1807210"/>
            <wp:effectExtent l="0" t="0" r="2540" b="8890"/>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5"/>
                    <pic:cNvPicPr>
                      <a:picLocks noChangeAspect="1"/>
                    </pic:cNvPicPr>
                  </pic:nvPicPr>
                  <pic:blipFill>
                    <a:blip r:embed="rId13"/>
                    <a:stretch>
                      <a:fillRect/>
                    </a:stretch>
                  </pic:blipFill>
                  <pic:spPr>
                    <a:xfrm>
                      <a:off x="0" y="0"/>
                      <a:ext cx="3909060" cy="1807210"/>
                    </a:xfrm>
                    <a:prstGeom prst="rect">
                      <a:avLst/>
                    </a:prstGeom>
                    <a:noFill/>
                    <a:ln>
                      <a:noFill/>
                    </a:ln>
                  </pic:spPr>
                </pic:pic>
              </a:graphicData>
            </a:graphic>
          </wp:inline>
        </w:drawing>
      </w:r>
      <w:r>
        <w:rPr>
          <w:rFonts w:hint="default" w:ascii="Times New Roman" w:hAnsi="Times New Roman" w:cs="Times New Roman"/>
          <w:lang w:val="en-US"/>
        </w:rPr>
        <w:t xml:space="preserve">  </w:t>
      </w:r>
    </w:p>
    <w:p w14:paraId="46185CE1">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3909695" cy="1804670"/>
            <wp:effectExtent l="0" t="0" r="1905" b="11430"/>
            <wp:docPr id="1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6"/>
                    <pic:cNvPicPr>
                      <a:picLocks noChangeAspect="1"/>
                    </pic:cNvPicPr>
                  </pic:nvPicPr>
                  <pic:blipFill>
                    <a:blip r:embed="rId14"/>
                    <a:stretch>
                      <a:fillRect/>
                    </a:stretch>
                  </pic:blipFill>
                  <pic:spPr>
                    <a:xfrm>
                      <a:off x="0" y="0"/>
                      <a:ext cx="3909695" cy="1804670"/>
                    </a:xfrm>
                    <a:prstGeom prst="rect">
                      <a:avLst/>
                    </a:prstGeom>
                    <a:noFill/>
                    <a:ln>
                      <a:noFill/>
                    </a:ln>
                  </pic:spPr>
                </pic:pic>
              </a:graphicData>
            </a:graphic>
          </wp:inline>
        </w:drawing>
      </w:r>
    </w:p>
    <w:p w14:paraId="39E732BA">
      <w:pPr>
        <w:pStyle w:val="9"/>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3910330" cy="1798955"/>
            <wp:effectExtent l="0" t="0" r="1270" b="4445"/>
            <wp:docPr id="1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7"/>
                    <pic:cNvPicPr>
                      <a:picLocks noChangeAspect="1"/>
                    </pic:cNvPicPr>
                  </pic:nvPicPr>
                  <pic:blipFill>
                    <a:blip r:embed="rId15"/>
                    <a:stretch>
                      <a:fillRect/>
                    </a:stretch>
                  </pic:blipFill>
                  <pic:spPr>
                    <a:xfrm>
                      <a:off x="0" y="0"/>
                      <a:ext cx="3910330" cy="1798955"/>
                    </a:xfrm>
                    <a:prstGeom prst="rect">
                      <a:avLst/>
                    </a:prstGeom>
                    <a:noFill/>
                    <a:ln>
                      <a:noFill/>
                    </a:ln>
                  </pic:spPr>
                </pic:pic>
              </a:graphicData>
            </a:graphic>
          </wp:inline>
        </w:drawing>
      </w:r>
      <w:r>
        <w:rPr>
          <w:rFonts w:hint="default" w:ascii="Times New Roman" w:hAnsi="Times New Roman" w:cs="Times New Roman"/>
          <w:lang w:val="en-US"/>
        </w:rPr>
        <w:t xml:space="preserve"> </w:t>
      </w:r>
    </w:p>
    <w:p w14:paraId="619D65C4">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3894455" cy="1798955"/>
            <wp:effectExtent l="0" t="0" r="4445" b="4445"/>
            <wp:docPr id="1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8"/>
                    <pic:cNvPicPr>
                      <a:picLocks noChangeAspect="1"/>
                    </pic:cNvPicPr>
                  </pic:nvPicPr>
                  <pic:blipFill>
                    <a:blip r:embed="rId16"/>
                    <a:stretch>
                      <a:fillRect/>
                    </a:stretch>
                  </pic:blipFill>
                  <pic:spPr>
                    <a:xfrm>
                      <a:off x="0" y="0"/>
                      <a:ext cx="3894455" cy="1798955"/>
                    </a:xfrm>
                    <a:prstGeom prst="rect">
                      <a:avLst/>
                    </a:prstGeom>
                    <a:noFill/>
                    <a:ln>
                      <a:noFill/>
                    </a:ln>
                  </pic:spPr>
                </pic:pic>
              </a:graphicData>
            </a:graphic>
          </wp:inline>
        </w:drawing>
      </w:r>
    </w:p>
    <w:p w14:paraId="371BA33A">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3952875" cy="1814830"/>
            <wp:effectExtent l="0" t="0" r="9525" b="1270"/>
            <wp:docPr id="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9"/>
                    <pic:cNvPicPr>
                      <a:picLocks noChangeAspect="1"/>
                    </pic:cNvPicPr>
                  </pic:nvPicPr>
                  <pic:blipFill>
                    <a:blip r:embed="rId17"/>
                    <a:stretch>
                      <a:fillRect/>
                    </a:stretch>
                  </pic:blipFill>
                  <pic:spPr>
                    <a:xfrm>
                      <a:off x="0" y="0"/>
                      <a:ext cx="3952875" cy="1814830"/>
                    </a:xfrm>
                    <a:prstGeom prst="rect">
                      <a:avLst/>
                    </a:prstGeom>
                    <a:noFill/>
                    <a:ln>
                      <a:noFill/>
                    </a:ln>
                  </pic:spPr>
                </pic:pic>
              </a:graphicData>
            </a:graphic>
          </wp:inline>
        </w:drawing>
      </w:r>
    </w:p>
    <w:p w14:paraId="6F133604">
      <w:pPr>
        <w:pStyle w:val="9"/>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3988435" cy="1824355"/>
            <wp:effectExtent l="0" t="0" r="12065" b="4445"/>
            <wp:docPr id="1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0"/>
                    <pic:cNvPicPr>
                      <a:picLocks noChangeAspect="1"/>
                    </pic:cNvPicPr>
                  </pic:nvPicPr>
                  <pic:blipFill>
                    <a:blip r:embed="rId18"/>
                    <a:stretch>
                      <a:fillRect/>
                    </a:stretch>
                  </pic:blipFill>
                  <pic:spPr>
                    <a:xfrm>
                      <a:off x="0" y="0"/>
                      <a:ext cx="3988435" cy="1824355"/>
                    </a:xfrm>
                    <a:prstGeom prst="rect">
                      <a:avLst/>
                    </a:prstGeom>
                    <a:noFill/>
                    <a:ln>
                      <a:noFill/>
                    </a:ln>
                  </pic:spPr>
                </pic:pic>
              </a:graphicData>
            </a:graphic>
          </wp:inline>
        </w:drawing>
      </w:r>
    </w:p>
    <w:p w14:paraId="7AEFC29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Observations</w:t>
      </w:r>
    </w:p>
    <w:p w14:paraId="465BDDD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Strengths</w:t>
      </w:r>
    </w:p>
    <w:p w14:paraId="2742A8F8">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effective for short-term forecasting</w:t>
      </w:r>
    </w:p>
    <w:p w14:paraId="75AD7D73">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interpretable statistical structure</w:t>
      </w:r>
    </w:p>
    <w:p w14:paraId="2EA3B56E">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efficient on structured financial data</w:t>
      </w:r>
    </w:p>
    <w:p w14:paraId="42CCC864">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stable forecasting performance on low-volatility stocks</w:t>
      </w:r>
    </w:p>
    <w:p w14:paraId="564656F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Limitations</w:t>
      </w:r>
    </w:p>
    <w:p w14:paraId="60789155">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struggled with sudden market fluctuations</w:t>
      </w:r>
    </w:p>
    <w:p w14:paraId="65C4D103">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limited ability to capture nonlinear behavior</w:t>
      </w:r>
    </w:p>
    <w:p w14:paraId="0350059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sensitive to high volatility periods</w:t>
      </w:r>
    </w:p>
    <w:p w14:paraId="49E60C1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Overall Assessment</w:t>
      </w:r>
    </w:p>
    <w:p w14:paraId="2E38F95A">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ARIMA model produced reasonable short-term forecasts and successfully generated a balanced portfolio allocation strategy.</w:t>
      </w:r>
    </w:p>
    <w:p w14:paraId="012DA4B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1468CA8E">
      <w:pPr>
        <w:rPr>
          <w:rFonts w:hint="default" w:ascii="Times New Roman" w:hAnsi="Times New Roman" w:cs="Times New Roman"/>
        </w:rPr>
      </w:pPr>
      <w:r>
        <w:rPr>
          <w:rFonts w:hint="default" w:ascii="Times New Roman" w:hAnsi="Times New Roman" w:cs="Times New Roman"/>
        </w:rPr>
        <w:br w:type="page"/>
      </w:r>
    </w:p>
    <w:p w14:paraId="6DE275C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9. StockGro Execution Summary</w:t>
      </w:r>
    </w:p>
    <w:p w14:paraId="40C11162">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generated portfolio was implemented on the StockGro virtual trading platform.</w:t>
      </w:r>
    </w:p>
    <w:p w14:paraId="56ABB8E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Trading Window</w:t>
      </w:r>
    </w:p>
    <w:p w14:paraId="1AFFC002">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Wed 13 May</w:t>
      </w:r>
      <w:r>
        <w:rPr>
          <w:rFonts w:hint="default" w:ascii="Times New Roman" w:hAnsi="Times New Roman" w:cs="Times New Roman"/>
        </w:rPr>
        <w:t xml:space="preserve"> → Thu 1</w:t>
      </w:r>
      <w:r>
        <w:rPr>
          <w:rFonts w:hint="default" w:ascii="Times New Roman" w:hAnsi="Times New Roman" w:cs="Times New Roman"/>
          <w:lang w:val="en-US"/>
        </w:rPr>
        <w:t>4</w:t>
      </w:r>
      <w:r>
        <w:rPr>
          <w:rFonts w:hint="default" w:ascii="Times New Roman" w:hAnsi="Times New Roman" w:cs="Times New Roman"/>
        </w:rPr>
        <w:t xml:space="preserve"> May</w:t>
      </w:r>
    </w:p>
    <w:p w14:paraId="42CBFD82">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Execution Details</w:t>
      </w:r>
    </w:p>
    <w:p w14:paraId="249A9F93">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All trades were executed according to the portfolio allocation generated by the forecasting pipeline.</w:t>
      </w:r>
    </w:p>
    <w:p w14:paraId="2AFE69C5">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4600575" cy="1974850"/>
            <wp:effectExtent l="0" t="0" r="9525" b="6350"/>
            <wp:docPr id="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1"/>
                    <pic:cNvPicPr>
                      <a:picLocks noChangeAspect="1"/>
                    </pic:cNvPicPr>
                  </pic:nvPicPr>
                  <pic:blipFill>
                    <a:blip r:embed="rId19"/>
                    <a:stretch>
                      <a:fillRect/>
                    </a:stretch>
                  </pic:blipFill>
                  <pic:spPr>
                    <a:xfrm>
                      <a:off x="0" y="0"/>
                      <a:ext cx="4600575" cy="1974850"/>
                    </a:xfrm>
                    <a:prstGeom prst="rect">
                      <a:avLst/>
                    </a:prstGeom>
                    <a:noFill/>
                    <a:ln>
                      <a:noFill/>
                    </a:ln>
                  </pic:spPr>
                </pic:pic>
              </a:graphicData>
            </a:graphic>
          </wp:inline>
        </w:drawing>
      </w:r>
    </w:p>
    <w:p w14:paraId="2428270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Initial Portfolio Snapshot</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22"/>
        <w:gridCol w:w="2442"/>
      </w:tblGrid>
      <w:tr w14:paraId="4FF46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D4FE04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Metric</w:t>
            </w:r>
          </w:p>
        </w:tc>
        <w:tc>
          <w:tcPr>
            <w:tcW w:w="0" w:type="auto"/>
            <w:shd w:val="clear" w:color="auto" w:fill="auto"/>
            <w:vAlign w:val="center"/>
          </w:tcPr>
          <w:p w14:paraId="74A1138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Value</w:t>
            </w:r>
          </w:p>
        </w:tc>
      </w:tr>
      <w:tr w14:paraId="28B24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EAA9D9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Initial Capital</w:t>
            </w:r>
          </w:p>
        </w:tc>
        <w:tc>
          <w:tcPr>
            <w:tcW w:w="0" w:type="auto"/>
            <w:shd w:val="clear" w:color="auto" w:fill="auto"/>
            <w:vAlign w:val="center"/>
          </w:tcPr>
          <w:p w14:paraId="7D34B3E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₹10,00,000</w:t>
            </w:r>
          </w:p>
        </w:tc>
      </w:tr>
      <w:tr w14:paraId="3FE4A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489AC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Invested Value</w:t>
            </w:r>
          </w:p>
        </w:tc>
        <w:tc>
          <w:tcPr>
            <w:tcW w:w="0" w:type="auto"/>
            <w:shd w:val="clear" w:color="auto" w:fill="auto"/>
            <w:vAlign w:val="center"/>
          </w:tcPr>
          <w:p w14:paraId="1858EA5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₹9,98,448.52</w:t>
            </w:r>
          </w:p>
        </w:tc>
      </w:tr>
      <w:tr w14:paraId="416B2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9FB3E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Portfolio Type</w:t>
            </w:r>
          </w:p>
        </w:tc>
        <w:tc>
          <w:tcPr>
            <w:tcW w:w="0" w:type="auto"/>
            <w:shd w:val="clear" w:color="auto" w:fill="auto"/>
            <w:vAlign w:val="center"/>
          </w:tcPr>
          <w:p w14:paraId="0E9C32C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Diversified Multi-Sector</w:t>
            </w:r>
          </w:p>
        </w:tc>
      </w:tr>
    </w:tbl>
    <w:p w14:paraId="7DC1A48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portfolio consisted of:</w:t>
      </w:r>
    </w:p>
    <w:p w14:paraId="14B72CC0">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HDFC Bank</w:t>
      </w:r>
    </w:p>
    <w:p w14:paraId="4D2DB2A4">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TCS</w:t>
      </w:r>
    </w:p>
    <w:p w14:paraId="56A14403">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Sun Pharma</w:t>
      </w:r>
    </w:p>
    <w:p w14:paraId="33A839BD">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Hindustan Unilever</w:t>
      </w:r>
    </w:p>
    <w:p w14:paraId="55E9F990">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Maruti Suzuki</w:t>
      </w:r>
    </w:p>
    <w:p w14:paraId="107720C9">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Reliance Industries</w:t>
      </w:r>
    </w:p>
    <w:p w14:paraId="46F31532">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Screenshots of holdings, allocation, and portfolio returns were recorded as proof of execution.</w:t>
      </w:r>
    </w:p>
    <w:p w14:paraId="5D3E007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DED7DE6">
      <w:pPr>
        <w:rPr>
          <w:rFonts w:hint="default" w:ascii="Times New Roman" w:hAnsi="Times New Roman" w:cs="Times New Roman"/>
        </w:rPr>
      </w:pPr>
      <w:r>
        <w:rPr>
          <w:rFonts w:hint="default" w:ascii="Times New Roman" w:hAnsi="Times New Roman" w:cs="Times New Roman"/>
        </w:rPr>
        <w:br w:type="page"/>
      </w:r>
    </w:p>
    <w:p w14:paraId="0C8087E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10. Predicted vs Actual Market Performance</w:t>
      </w:r>
    </w:p>
    <w:p w14:paraId="5EE4DDD6">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portfolio was monitored over the selected two-day trading window.</w:t>
      </w:r>
    </w:p>
    <w:p w14:paraId="7C3277B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Actual Market Observations</w:t>
      </w:r>
    </w:p>
    <w:p w14:paraId="451CAF4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Best Performing Stock</w:t>
      </w:r>
      <w:r>
        <w:rPr>
          <w:rFonts w:hint="default" w:ascii="Times New Roman" w:hAnsi="Times New Roman" w:cs="Times New Roman"/>
          <w:lang w:val="en-US"/>
        </w:rPr>
        <w:t xml:space="preserve"> - </w:t>
      </w:r>
      <w:r>
        <w:rPr>
          <w:rFonts w:hint="default" w:ascii="Times New Roman" w:hAnsi="Times New Roman" w:cs="Times New Roman"/>
          <w:b w:val="0"/>
          <w:bCs w:val="0"/>
          <w:sz w:val="24"/>
          <w:szCs w:val="24"/>
        </w:rPr>
        <w:t>HDFCBANK.NS</w:t>
      </w:r>
    </w:p>
    <w:p w14:paraId="669F29CF">
      <w:pPr>
        <w:pStyle w:val="4"/>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rPr>
        <w:t>Worst Performing Stock</w:t>
      </w:r>
      <w:r>
        <w:rPr>
          <w:rFonts w:hint="default" w:ascii="Times New Roman" w:hAnsi="Times New Roman" w:cs="Times New Roman"/>
          <w:lang w:val="en-US"/>
        </w:rPr>
        <w:t xml:space="preserve"> - </w:t>
      </w:r>
      <w:r>
        <w:rPr>
          <w:rFonts w:hint="default" w:ascii="Times New Roman" w:hAnsi="Times New Roman" w:cs="Times New Roman"/>
          <w:b w:val="0"/>
          <w:bCs w:val="0"/>
          <w:sz w:val="24"/>
          <w:szCs w:val="24"/>
        </w:rPr>
        <w:t>TCS.NS</w:t>
      </w:r>
    </w:p>
    <w:p w14:paraId="7E2D0C3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Portfolio Outcome</w:t>
      </w:r>
    </w:p>
    <w:p w14:paraId="248619E1">
      <w:r>
        <w:drawing>
          <wp:inline distT="0" distB="0" distL="114300" distR="114300">
            <wp:extent cx="5267960" cy="2204720"/>
            <wp:effectExtent l="0" t="0" r="2540" b="5080"/>
            <wp:docPr id="1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2"/>
                    <pic:cNvPicPr>
                      <a:picLocks noChangeAspect="1"/>
                    </pic:cNvPicPr>
                  </pic:nvPicPr>
                  <pic:blipFill>
                    <a:blip r:embed="rId20"/>
                    <a:stretch>
                      <a:fillRect/>
                    </a:stretch>
                  </pic:blipFill>
                  <pic:spPr>
                    <a:xfrm>
                      <a:off x="0" y="0"/>
                      <a:ext cx="5267960" cy="2204720"/>
                    </a:xfrm>
                    <a:prstGeom prst="rect">
                      <a:avLst/>
                    </a:prstGeom>
                    <a:noFill/>
                    <a:ln>
                      <a:noFill/>
                    </a:ln>
                  </pic:spPr>
                </pic:pic>
              </a:graphicData>
            </a:graphic>
          </wp:inline>
        </w:drawing>
      </w:r>
    </w:p>
    <w:p w14:paraId="5571D500"/>
    <w:p w14:paraId="0A72E8A0">
      <w:pPr>
        <w:rPr>
          <w:rFonts w:hint="default" w:ascii="Times New Roman" w:hAnsi="Times New Roman" w:cs="Times New Roman"/>
          <w:sz w:val="24"/>
          <w:szCs w:val="24"/>
        </w:rPr>
      </w:pPr>
      <w:r>
        <w:rPr>
          <w:rFonts w:hint="default" w:ascii="Times New Roman" w:hAnsi="Times New Roman" w:cs="Times New Roman"/>
          <w:b/>
          <w:bCs/>
          <w:sz w:val="24"/>
          <w:szCs w:val="24"/>
        </w:rPr>
        <w:t>Initial Capital:</w:t>
      </w:r>
      <w:r>
        <w:rPr>
          <w:rFonts w:hint="default" w:ascii="Times New Roman" w:hAnsi="Times New Roman" w:cs="Times New Roman"/>
          <w:sz w:val="24"/>
          <w:szCs w:val="24"/>
        </w:rPr>
        <w:t xml:space="preserve"> ₹10,00,000</w:t>
      </w:r>
    </w:p>
    <w:p w14:paraId="4F7F8BF6">
      <w:pPr>
        <w:rPr>
          <w:rFonts w:hint="default" w:ascii="Times New Roman" w:hAnsi="Times New Roman" w:cs="Times New Roman"/>
          <w:sz w:val="24"/>
          <w:szCs w:val="24"/>
        </w:rPr>
      </w:pPr>
      <w:r>
        <w:rPr>
          <w:rFonts w:hint="default" w:ascii="Times New Roman" w:hAnsi="Times New Roman" w:cs="Times New Roman"/>
          <w:b/>
          <w:bCs/>
          <w:sz w:val="24"/>
          <w:szCs w:val="24"/>
        </w:rPr>
        <w:t xml:space="preserve">Final Portfolio Value: </w:t>
      </w:r>
      <w:r>
        <w:rPr>
          <w:rFonts w:hint="default" w:ascii="Times New Roman" w:hAnsi="Times New Roman" w:cs="Times New Roman"/>
          <w:sz w:val="24"/>
          <w:szCs w:val="24"/>
        </w:rPr>
        <w:t>₹9,96,403.99</w:t>
      </w:r>
    </w:p>
    <w:p w14:paraId="56CA0356">
      <w:pPr>
        <w:rPr>
          <w:rFonts w:hint="default" w:ascii="Times New Roman" w:hAnsi="Times New Roman" w:cs="Times New Roman"/>
          <w:sz w:val="24"/>
          <w:szCs w:val="24"/>
        </w:rPr>
      </w:pPr>
      <w:r>
        <w:rPr>
          <w:rFonts w:hint="default" w:ascii="Times New Roman" w:hAnsi="Times New Roman" w:cs="Times New Roman"/>
          <w:b/>
          <w:bCs/>
          <w:sz w:val="24"/>
          <w:szCs w:val="24"/>
        </w:rPr>
        <w:t>Net Return:</w:t>
      </w:r>
      <w:r>
        <w:rPr>
          <w:rFonts w:hint="default" w:ascii="Times New Roman" w:hAnsi="Times New Roman" w:cs="Times New Roman"/>
          <w:sz w:val="24"/>
          <w:szCs w:val="24"/>
        </w:rPr>
        <w:t xml:space="preserve"> -₹2,044.53 (-0.20%)</w:t>
      </w:r>
    </w:p>
    <w:p w14:paraId="3C164D2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Interpretation</w:t>
      </w:r>
    </w:p>
    <w:p w14:paraId="797F689A">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Although TCS and MARUTI generated significant negative returns during the trading window, positive contributions from HDFCBANK and RELIANCE helped reduce the portfolio drawdown.</w:t>
      </w:r>
    </w:p>
    <w:p w14:paraId="3EDECE1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portfolio remained relatively stable despite volatile market conditions.</w:t>
      </w:r>
    </w:p>
    <w:p w14:paraId="57B02076">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Key Insight</w:t>
      </w:r>
    </w:p>
    <w:p w14:paraId="6A22B8A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diversification and volatility-aware allocation strategy successfully limited downside risk.</w:t>
      </w:r>
    </w:p>
    <w:p w14:paraId="427DF285">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63AD7DC4">
      <w:pPr>
        <w:rPr>
          <w:rFonts w:hint="default" w:ascii="Times New Roman" w:hAnsi="Times New Roman" w:cs="Times New Roman"/>
        </w:rPr>
      </w:pPr>
      <w:r>
        <w:rPr>
          <w:rFonts w:hint="default" w:ascii="Times New Roman" w:hAnsi="Times New Roman" w:cs="Times New Roman"/>
        </w:rPr>
        <w:br w:type="page"/>
      </w:r>
    </w:p>
    <w:p w14:paraId="75E4A86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11. Reflection and Conclusion</w:t>
      </w:r>
    </w:p>
    <w:p w14:paraId="3FE8E51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This project demonstrated how statistical forecasting techniques can be integrated with portfolio construction and real-time market execution.</w:t>
      </w:r>
    </w:p>
    <w:p w14:paraId="39B149A2">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ARIMA model provided useful short-term forecasting capability, particularly for stable stocks with stronger historical structure. However, sudden market fluctuations and external factors reduced prediction accuracy for highly volatile stocks such as TCS and MARUTI.</w:t>
      </w:r>
    </w:p>
    <w:p w14:paraId="62CCB9FB">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Several important conclusions were observed:</w:t>
      </w:r>
    </w:p>
    <w:p w14:paraId="2522CC1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diversification significantly improved portfolio stability</w:t>
      </w:r>
    </w:p>
    <w:p w14:paraId="5B7ADF6A">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volatility-aware allocation reduced major losses</w:t>
      </w:r>
    </w:p>
    <w:p w14:paraId="534FAE75">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forecasting models alone are insufficient without risk management</w:t>
      </w:r>
    </w:p>
    <w:p w14:paraId="1DF30BB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real market behavior contains randomness beyond historical trends</w:t>
      </w:r>
    </w:p>
    <w:p w14:paraId="5487D30B">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Despite a small overall portfolio decline of 0.20%, the portfolio remained relatively resilient under live market conditions.</w:t>
      </w:r>
    </w:p>
    <w:p w14:paraId="53CE5DD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Future Improvements</w:t>
      </w:r>
    </w:p>
    <w:p w14:paraId="0815F71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improvements could further enhance forecasting accuracy:</w:t>
      </w:r>
    </w:p>
    <w:p w14:paraId="0E06BD15">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integrating LSTM or transformer-based models</w:t>
      </w:r>
    </w:p>
    <w:p w14:paraId="03E105CD">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incorporating technical indicators</w:t>
      </w:r>
    </w:p>
    <w:p w14:paraId="5ECB15FD">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including macroeconomic variables and news sentiment</w:t>
      </w:r>
    </w:p>
    <w:p w14:paraId="14CB29D3">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using ensemble forecasting techniques</w:t>
      </w:r>
    </w:p>
    <w:p w14:paraId="285A15D4">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dynamic portfolio rebalancing</w:t>
      </w:r>
    </w:p>
    <w:p w14:paraId="493ED6AD">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Overall, the project successfully achieved its objective of applying time series analysis techniques to data-driven portfolio construction and live virtual trading.</w:t>
      </w:r>
    </w:p>
    <w:p w14:paraId="26DD4AE1">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1068F6E">
      <w:pPr>
        <w:rPr>
          <w:rFonts w:hint="default" w:ascii="Times New Roman" w:hAnsi="Times New Roman" w:cs="Times New Roman"/>
        </w:rPr>
      </w:pPr>
      <w:r>
        <w:rPr>
          <w:rFonts w:hint="default" w:ascii="Times New Roman" w:hAnsi="Times New Roman" w:cs="Times New Roman"/>
        </w:rPr>
        <w:br w:type="page"/>
      </w:r>
    </w:p>
    <w:p w14:paraId="24CBC0F7">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12. Technologies and Libraries Used</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2"/>
        <w:gridCol w:w="2855"/>
      </w:tblGrid>
      <w:tr w14:paraId="5879BB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08" w:hRule="atLeast"/>
          <w:tblHeader/>
          <w:tblCellSpacing w:w="15" w:type="dxa"/>
        </w:trPr>
        <w:tc>
          <w:tcPr>
            <w:tcW w:w="0" w:type="auto"/>
            <w:shd w:val="clear" w:color="auto" w:fill="auto"/>
            <w:vAlign w:val="center"/>
          </w:tcPr>
          <w:p w14:paraId="72C0EF4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Tool/Library</w:t>
            </w:r>
          </w:p>
        </w:tc>
        <w:tc>
          <w:tcPr>
            <w:tcW w:w="0" w:type="auto"/>
            <w:shd w:val="clear" w:color="auto" w:fill="auto"/>
            <w:vAlign w:val="center"/>
          </w:tcPr>
          <w:p w14:paraId="3B19D056">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Purpose</w:t>
            </w:r>
          </w:p>
        </w:tc>
      </w:tr>
      <w:tr w14:paraId="0F057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0D436E4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Python</w:t>
            </w:r>
          </w:p>
        </w:tc>
        <w:tc>
          <w:tcPr>
            <w:tcW w:w="0" w:type="auto"/>
            <w:shd w:val="clear" w:color="auto" w:fill="auto"/>
            <w:vAlign w:val="center"/>
          </w:tcPr>
          <w:p w14:paraId="16752B2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Core Programming</w:t>
            </w:r>
          </w:p>
        </w:tc>
      </w:tr>
      <w:tr w14:paraId="29ACF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273D7BC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yfinance</w:t>
            </w:r>
          </w:p>
        </w:tc>
        <w:tc>
          <w:tcPr>
            <w:tcW w:w="0" w:type="auto"/>
            <w:shd w:val="clear" w:color="auto" w:fill="auto"/>
            <w:vAlign w:val="center"/>
          </w:tcPr>
          <w:p w14:paraId="2A4A28C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Data Collection</w:t>
            </w:r>
          </w:p>
        </w:tc>
      </w:tr>
      <w:tr w14:paraId="69F9B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751A855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pandas</w:t>
            </w:r>
          </w:p>
        </w:tc>
        <w:tc>
          <w:tcPr>
            <w:tcW w:w="0" w:type="auto"/>
            <w:shd w:val="clear" w:color="auto" w:fill="auto"/>
            <w:vAlign w:val="center"/>
          </w:tcPr>
          <w:p w14:paraId="1BD0F14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Data Processing</w:t>
            </w:r>
          </w:p>
        </w:tc>
      </w:tr>
      <w:tr w14:paraId="5C802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5472007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numpy</w:t>
            </w:r>
          </w:p>
        </w:tc>
        <w:tc>
          <w:tcPr>
            <w:tcW w:w="0" w:type="auto"/>
            <w:shd w:val="clear" w:color="auto" w:fill="auto"/>
            <w:vAlign w:val="center"/>
          </w:tcPr>
          <w:p w14:paraId="1CE5F8B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Numerical Computation</w:t>
            </w:r>
          </w:p>
        </w:tc>
      </w:tr>
      <w:tr w14:paraId="5B32E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702E5B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matplotlib</w:t>
            </w:r>
          </w:p>
        </w:tc>
        <w:tc>
          <w:tcPr>
            <w:tcW w:w="0" w:type="auto"/>
            <w:shd w:val="clear" w:color="auto" w:fill="auto"/>
            <w:vAlign w:val="center"/>
          </w:tcPr>
          <w:p w14:paraId="01E8489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Visualization</w:t>
            </w:r>
          </w:p>
        </w:tc>
      </w:tr>
      <w:tr w14:paraId="29984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7FF694A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seaborn</w:t>
            </w:r>
          </w:p>
        </w:tc>
        <w:tc>
          <w:tcPr>
            <w:tcW w:w="0" w:type="auto"/>
            <w:shd w:val="clear" w:color="auto" w:fill="auto"/>
            <w:vAlign w:val="center"/>
          </w:tcPr>
          <w:p w14:paraId="513E220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Heatmaps and Graphs</w:t>
            </w:r>
          </w:p>
        </w:tc>
      </w:tr>
      <w:tr w14:paraId="257708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12FED8B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statsmodels</w:t>
            </w:r>
          </w:p>
        </w:tc>
        <w:tc>
          <w:tcPr>
            <w:tcW w:w="0" w:type="auto"/>
            <w:shd w:val="clear" w:color="auto" w:fill="auto"/>
            <w:vAlign w:val="center"/>
          </w:tcPr>
          <w:p w14:paraId="52A33C3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ARIMA and Statistical Tests</w:t>
            </w:r>
          </w:p>
        </w:tc>
      </w:tr>
      <w:tr w14:paraId="23CAB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443207D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pmdarima</w:t>
            </w:r>
          </w:p>
        </w:tc>
        <w:tc>
          <w:tcPr>
            <w:tcW w:w="0" w:type="auto"/>
            <w:shd w:val="clear" w:color="auto" w:fill="auto"/>
            <w:vAlign w:val="center"/>
          </w:tcPr>
          <w:p w14:paraId="7ACDE97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Automatic ARIMA Tuning</w:t>
            </w:r>
          </w:p>
        </w:tc>
      </w:tr>
      <w:tr w14:paraId="56F6A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8" w:hRule="atLeast"/>
          <w:tblCellSpacing w:w="15" w:type="dxa"/>
        </w:trPr>
        <w:tc>
          <w:tcPr>
            <w:tcW w:w="0" w:type="auto"/>
            <w:shd w:val="clear" w:color="auto" w:fill="auto"/>
            <w:vAlign w:val="center"/>
          </w:tcPr>
          <w:p w14:paraId="4AA48D0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Streamlit</w:t>
            </w:r>
          </w:p>
        </w:tc>
        <w:tc>
          <w:tcPr>
            <w:tcW w:w="0" w:type="auto"/>
            <w:shd w:val="clear" w:color="auto" w:fill="auto"/>
            <w:vAlign w:val="center"/>
          </w:tcPr>
          <w:p w14:paraId="1BF8AE1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Dashboard Development</w:t>
            </w:r>
          </w:p>
        </w:tc>
      </w:tr>
      <w:tr w14:paraId="1CD836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8" w:hRule="atLeast"/>
          <w:tblCellSpacing w:w="15" w:type="dxa"/>
        </w:trPr>
        <w:tc>
          <w:tcPr>
            <w:tcW w:w="0" w:type="auto"/>
            <w:shd w:val="clear" w:color="auto" w:fill="auto"/>
            <w:vAlign w:val="center"/>
          </w:tcPr>
          <w:p w14:paraId="74EA878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StockGro</w:t>
            </w:r>
          </w:p>
        </w:tc>
        <w:tc>
          <w:tcPr>
            <w:tcW w:w="0" w:type="auto"/>
            <w:shd w:val="clear" w:color="auto" w:fill="auto"/>
            <w:vAlign w:val="center"/>
          </w:tcPr>
          <w:p w14:paraId="2225506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Virtual Trading Platform</w:t>
            </w:r>
          </w:p>
        </w:tc>
      </w:tr>
    </w:tbl>
    <w:p w14:paraId="5D4DE639">
      <w:pPr>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5ED18278">
      <w:pPr>
        <w:rPr>
          <w:rFonts w:hint="default" w:ascii="Times New Roman" w:hAnsi="Times New Roman" w:cs="Times New Roman"/>
          <w:b/>
          <w:bCs/>
          <w:sz w:val="44"/>
          <w:szCs w:val="44"/>
        </w:rPr>
      </w:pPr>
    </w:p>
    <w:p w14:paraId="78223A01">
      <w:pPr>
        <w:rPr>
          <w:rFonts w:hint="default" w:ascii="Times New Roman" w:hAnsi="Times New Roman" w:cs="Times New Roman"/>
          <w:b/>
          <w:bCs/>
          <w:sz w:val="44"/>
          <w:szCs w:val="44"/>
        </w:rPr>
      </w:pPr>
      <w:r>
        <w:rPr>
          <w:rFonts w:hint="default" w:ascii="Times New Roman" w:hAnsi="Times New Roman" w:cs="Times New Roman"/>
          <w:b/>
          <w:bCs/>
          <w:sz w:val="44"/>
          <w:szCs w:val="44"/>
        </w:rPr>
        <w:t>13. Appendix</w:t>
      </w:r>
    </w:p>
    <w:p w14:paraId="605C842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Included Deliverables</w:t>
      </w:r>
    </w:p>
    <w:p w14:paraId="63E1EB15">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Jupyter Notebook</w:t>
      </w:r>
    </w:p>
    <w:p w14:paraId="060A6FF1">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Portfolio Allocation Tables</w:t>
      </w:r>
    </w:p>
    <w:p w14:paraId="1E873914">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Forecast Graphs</w:t>
      </w:r>
    </w:p>
    <w:p w14:paraId="7FB2BBDF">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Correlation Heatmap</w:t>
      </w:r>
    </w:p>
    <w:p w14:paraId="38423DF4">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STL Decomposition Plots</w:t>
      </w:r>
    </w:p>
    <w:p w14:paraId="7BC6501D">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StockGro Screenshots</w:t>
      </w:r>
    </w:p>
    <w:p w14:paraId="421D870A">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Streamlit Dashboard</w:t>
      </w:r>
    </w:p>
    <w:p w14:paraId="2DED104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23C98EC0">
      <w:pPr>
        <w:rPr>
          <w:rFonts w:hint="default" w:ascii="Times New Roman" w:hAnsi="Times New Roman" w:cs="Times New Roman"/>
        </w:rPr>
      </w:pPr>
      <w:r>
        <w:rPr>
          <w:rFonts w:hint="default" w:ascii="Times New Roman" w:hAnsi="Times New Roman" w:cs="Times New Roman"/>
        </w:rPr>
        <w:br w:type="page"/>
      </w:r>
    </w:p>
    <w:p w14:paraId="43788B50">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5D5CB898">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14:paraId="2CADC1C4">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val="0"/>
          <w:bCs w:val="0"/>
          <w:sz w:val="32"/>
          <w:szCs w:val="32"/>
        </w:rPr>
      </w:pPr>
      <w:r>
        <w:rPr>
          <w:rFonts w:hint="default" w:ascii="Times New Roman" w:hAnsi="Times New Roman" w:cs="Times New Roman"/>
          <w:b w:val="0"/>
          <w:bCs w:val="0"/>
          <w:sz w:val="32"/>
          <w:szCs w:val="32"/>
        </w:rPr>
        <w:t>GitHub Repository:</w:t>
      </w:r>
    </w:p>
    <w:p w14:paraId="015C57AC">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val="0"/>
          <w:bCs w:val="0"/>
          <w:sz w:val="32"/>
          <w:szCs w:val="32"/>
        </w:rPr>
      </w:pPr>
      <w:r>
        <w:rPr>
          <w:rFonts w:hint="default" w:ascii="Times New Roman" w:hAnsi="Times New Roman" w:cs="Times New Roman"/>
          <w:b w:val="0"/>
          <w:bCs w:val="0"/>
          <w:sz w:val="32"/>
          <w:szCs w:val="32"/>
        </w:rPr>
        <w:t>https://github.com/yourusername/tsa-2026-capstone</w:t>
      </w:r>
    </w:p>
    <w:p w14:paraId="2666FB18">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val="0"/>
          <w:bCs w:val="0"/>
          <w:sz w:val="32"/>
          <w:szCs w:val="32"/>
        </w:rPr>
      </w:pPr>
      <w:r>
        <w:rPr>
          <w:rFonts w:hint="default" w:ascii="Times New Roman" w:hAnsi="Times New Roman" w:cs="Times New Roman"/>
          <w:b w:val="0"/>
          <w:bCs w:val="0"/>
          <w:sz w:val="32"/>
          <w:szCs w:val="32"/>
        </w:rPr>
        <w:t>Live Dashboard:</w:t>
      </w:r>
    </w:p>
    <w:p w14:paraId="0090E9F3">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rPr>
      </w:pPr>
      <w:r>
        <w:rPr>
          <w:rFonts w:hint="default" w:ascii="Times New Roman" w:hAnsi="Times New Roman" w:cs="Times New Roman"/>
          <w:b w:val="0"/>
          <w:bCs w:val="0"/>
          <w:sz w:val="32"/>
          <w:szCs w:val="32"/>
        </w:rPr>
        <w:t>https://yourapp.streamlit.app</w:t>
      </w:r>
      <w:bookmarkStart w:id="0" w:name="_GoBack"/>
      <w:bookmarkEnd w:id="0"/>
    </w:p>
    <w:p w14:paraId="5C97425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6D786AF">
      <w:pPr>
        <w:pStyle w:val="2"/>
        <w:keepNext w:val="0"/>
        <w:keepLines w:val="0"/>
        <w:widowControl/>
        <w:suppressLineNumbers w:val="0"/>
        <w:rPr>
          <w:rFonts w:hint="default" w:ascii="Times New Roman" w:hAnsi="Times New Roman" w:cs="Times New Roman"/>
        </w:rPr>
      </w:pPr>
    </w:p>
    <w:p w14:paraId="473B6AA4">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End of Report</w:t>
      </w:r>
    </w:p>
    <w:p w14:paraId="5C9E8ADA">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Arial Unicode MS">
    <w:panose1 w:val="020B0604020202020204"/>
    <w:charset w:val="86"/>
    <w:family w:val="auto"/>
    <w:pitch w:val="default"/>
    <w:sig w:usb0="F7FFAEFF" w:usb1="F9DFFFFF" w:usb2="0000007F" w:usb3="00000000" w:csb0="203F01FF" w:csb1="D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119B34"/>
    <w:multiLevelType w:val="multilevel"/>
    <w:tmpl w:val="AE119B3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C2DE9F3"/>
    <w:multiLevelType w:val="multilevel"/>
    <w:tmpl w:val="BC2DE9F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BF17FA2"/>
    <w:multiLevelType w:val="multilevel"/>
    <w:tmpl w:val="CBF17FA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6635B20"/>
    <w:multiLevelType w:val="multilevel"/>
    <w:tmpl w:val="E6635B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7F53E40"/>
    <w:multiLevelType w:val="multilevel"/>
    <w:tmpl w:val="E7F53E4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1741975E"/>
    <w:multiLevelType w:val="multilevel"/>
    <w:tmpl w:val="174197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2626D3DA"/>
    <w:multiLevelType w:val="multilevel"/>
    <w:tmpl w:val="2626D3D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3228E8F6"/>
    <w:multiLevelType w:val="multilevel"/>
    <w:tmpl w:val="3228E8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7940941"/>
    <w:multiLevelType w:val="multilevel"/>
    <w:tmpl w:val="379409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5DE24005"/>
    <w:multiLevelType w:val="multilevel"/>
    <w:tmpl w:val="5DE2400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62FBECBF"/>
    <w:multiLevelType w:val="multilevel"/>
    <w:tmpl w:val="62FBECB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72B7A754"/>
    <w:multiLevelType w:val="multilevel"/>
    <w:tmpl w:val="72B7A75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7C859418"/>
    <w:multiLevelType w:val="multilevel"/>
    <w:tmpl w:val="7C85941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
  </w:num>
  <w:num w:numId="3">
    <w:abstractNumId w:val="2"/>
  </w:num>
  <w:num w:numId="4">
    <w:abstractNumId w:val="11"/>
  </w:num>
  <w:num w:numId="5">
    <w:abstractNumId w:val="4"/>
  </w:num>
  <w:num w:numId="6">
    <w:abstractNumId w:val="12"/>
  </w:num>
  <w:num w:numId="7">
    <w:abstractNumId w:val="0"/>
  </w:num>
  <w:num w:numId="8">
    <w:abstractNumId w:val="7"/>
  </w:num>
  <w:num w:numId="9">
    <w:abstractNumId w:val="5"/>
  </w:num>
  <w:num w:numId="10">
    <w:abstractNumId w:val="3"/>
  </w:num>
  <w:num w:numId="11">
    <w:abstractNumId w:val="6"/>
  </w:num>
  <w:num w:numId="12">
    <w:abstractNumId w:val="9"/>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0368E2"/>
    <w:rsid w:val="200368E2"/>
    <w:rsid w:val="740E30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1227</Words>
  <Characters>8366</Characters>
  <Lines>0</Lines>
  <Paragraphs>0</Paragraphs>
  <TotalTime>2</TotalTime>
  <ScaleCrop>false</ScaleCrop>
  <LinksUpToDate>false</LinksUpToDate>
  <CharactersWithSpaces>9363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2026-05-17T06:31:00Z</dcterms:created>
  <dc:creator>KIIT</dc:creator>
  <cp:lastModifiedBy>Samprit Banerjee</cp:lastModifiedBy>
  <dcterms:modified xsi:type="dcterms:W3CDTF">2026-05-17T07:54:19Z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4D4E39D8A5664C71A35C350FB4EED401_11</vt:lpwstr>
  </property>
  <property fmtid="{D5CDD505-2E9C-101B-9397-08002B2CF9AE}" pid="4" name="KSOTemplateDocerSaveRecord">
    <vt:lpwstr>eyJoZGlkIjoiYmY0NzMwMzA5NDk4ZjY1YzU3NzFiZmM0MjNmMGQyMjgiLCJ1c2VySWQiOiI1Njc1MTA4MTYxNjkifQ==</vt:lpwstr>
  </property>
</Properties>
</file>