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114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Time Series Forecasting and Portfolio Optimization Using ARIMA Models on NSE Stocks</w:t>
      </w:r>
    </w:p>
    <w:p w14:paraId="1A93B3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TSA 2026 Capstone Project Report</w:t>
      </w:r>
    </w:p>
    <w:p w14:paraId="43D49CB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Submitted By</w:t>
      </w:r>
    </w:p>
    <w:p w14:paraId="16AACF50">
      <w:pPr>
        <w:pStyle w:val="9"/>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SAMPRIT BANERJEE</w:t>
      </w:r>
    </w:p>
    <w:p w14:paraId="75CCA1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17806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3CD30BE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markets generate large volumes of sequential and time-dependent data, making time series analysis a highly effective approach for stock market forecasting and portfolio optimization. The primary objective of this project was to apply statistical forecasting techniques on historical NSE stock data in order to construct and evaluate a data-driven investment portfolio.</w:t>
      </w:r>
    </w:p>
    <w:p w14:paraId="348B44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capstone project focused on predicting stock price movements using ARIMA-based forecasting models and implementing the resulting investment strategy on the StockGro virtual trading platform. Historical stock data from 1 January 2021 to 31 December 2025 was collected using the Yahoo Finance API through the yfinance Python library.</w:t>
      </w:r>
    </w:p>
    <w:p w14:paraId="5634F71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workflow included:</w:t>
      </w:r>
    </w:p>
    <w:p w14:paraId="2518A92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 selection and diversification</w:t>
      </w:r>
    </w:p>
    <w:p w14:paraId="5C62F1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data preprocessing and stationarity testing</w:t>
      </w:r>
    </w:p>
    <w:p w14:paraId="2A78319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ARIMA forecasting</w:t>
      </w:r>
    </w:p>
    <w:p w14:paraId="397802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 and trend analysis</w:t>
      </w:r>
    </w:p>
    <w:p w14:paraId="5A15F5D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portfolio construction</w:t>
      </w:r>
    </w:p>
    <w:p w14:paraId="3789394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real-time virtual trading on StockGro</w:t>
      </w:r>
    </w:p>
    <w:p w14:paraId="78E9D2E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comparison of predicted vs actual market performance</w:t>
      </w:r>
    </w:p>
    <w:p w14:paraId="1D4CA5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objective was to evaluate whether time series forecasting techniques can effectively guide short-term portfolio allocation decisions under real market conditions.</w:t>
      </w:r>
    </w:p>
    <w:p w14:paraId="680D6F0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DE46197">
      <w:pPr>
        <w:rPr>
          <w:rFonts w:hint="default" w:ascii="Times New Roman" w:hAnsi="Times New Roman" w:cs="Times New Roman"/>
        </w:rPr>
      </w:pPr>
      <w:r>
        <w:rPr>
          <w:rFonts w:hint="default" w:ascii="Times New Roman" w:hAnsi="Times New Roman" w:cs="Times New Roman"/>
        </w:rPr>
        <w:br w:type="page"/>
      </w:r>
    </w:p>
    <w:p w14:paraId="6F4AED3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Stock Selection Rationale</w:t>
      </w:r>
    </w:p>
    <w:p w14:paraId="4506C2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ensure diversification and reduce portfolio concentration risk, stocks were selected from multiple sectors of the Indian economy. Sector diversification improves portfolio stability because different sectors react differently to market conditions.</w:t>
      </w:r>
    </w:p>
    <w:p w14:paraId="75E64BB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selected stocks were: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2428"/>
      </w:tblGrid>
      <w:tr w14:paraId="1AFB6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077DE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Stock</w:t>
            </w:r>
          </w:p>
        </w:tc>
        <w:tc>
          <w:tcPr>
            <w:tcW w:w="0" w:type="auto"/>
            <w:shd w:val="clear" w:color="auto" w:fill="auto"/>
            <w:vAlign w:val="center"/>
          </w:tcPr>
          <w:p w14:paraId="26B79DB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Sector</w:t>
            </w:r>
          </w:p>
        </w:tc>
      </w:tr>
      <w:tr w14:paraId="1DD6E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FBE4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HDFCBANK.NS</w:t>
            </w:r>
          </w:p>
        </w:tc>
        <w:tc>
          <w:tcPr>
            <w:tcW w:w="0" w:type="auto"/>
            <w:shd w:val="clear" w:color="auto" w:fill="auto"/>
            <w:vAlign w:val="center"/>
          </w:tcPr>
          <w:p w14:paraId="437672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Banking</w:t>
            </w:r>
          </w:p>
        </w:tc>
      </w:tr>
      <w:tr w14:paraId="7BA63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FA0A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TCS.NS</w:t>
            </w:r>
          </w:p>
        </w:tc>
        <w:tc>
          <w:tcPr>
            <w:tcW w:w="0" w:type="auto"/>
            <w:shd w:val="clear" w:color="auto" w:fill="auto"/>
            <w:vAlign w:val="center"/>
          </w:tcPr>
          <w:p w14:paraId="2D4DF0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Technology</w:t>
            </w:r>
          </w:p>
        </w:tc>
      </w:tr>
      <w:tr w14:paraId="1FE2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0ED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SUNPHARMA.NS</w:t>
            </w:r>
          </w:p>
        </w:tc>
        <w:tc>
          <w:tcPr>
            <w:tcW w:w="0" w:type="auto"/>
            <w:shd w:val="clear" w:color="auto" w:fill="auto"/>
            <w:vAlign w:val="center"/>
          </w:tcPr>
          <w:p w14:paraId="280AFB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Pharma</w:t>
            </w:r>
          </w:p>
        </w:tc>
      </w:tr>
      <w:tr w14:paraId="53C4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B43D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HINDUNILVR.NS</w:t>
            </w:r>
          </w:p>
        </w:tc>
        <w:tc>
          <w:tcPr>
            <w:tcW w:w="0" w:type="auto"/>
            <w:shd w:val="clear" w:color="auto" w:fill="auto"/>
            <w:vAlign w:val="center"/>
          </w:tcPr>
          <w:p w14:paraId="5F10B5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FMCG</w:t>
            </w:r>
          </w:p>
        </w:tc>
      </w:tr>
      <w:tr w14:paraId="76647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8EF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MARUTI.NS</w:t>
            </w:r>
          </w:p>
        </w:tc>
        <w:tc>
          <w:tcPr>
            <w:tcW w:w="0" w:type="auto"/>
            <w:shd w:val="clear" w:color="auto" w:fill="auto"/>
            <w:vAlign w:val="center"/>
          </w:tcPr>
          <w:p w14:paraId="1FF971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Automobile</w:t>
            </w:r>
          </w:p>
        </w:tc>
      </w:tr>
      <w:tr w14:paraId="72996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E3CB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RELIANCE.NS</w:t>
            </w:r>
          </w:p>
        </w:tc>
        <w:tc>
          <w:tcPr>
            <w:tcW w:w="0" w:type="auto"/>
            <w:shd w:val="clear" w:color="auto" w:fill="auto"/>
            <w:vAlign w:val="center"/>
          </w:tcPr>
          <w:p w14:paraId="6FFBFD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Energy</w:t>
            </w:r>
          </w:p>
        </w:tc>
      </w:tr>
    </w:tbl>
    <w:p w14:paraId="31F8B12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Selection Methodology</w:t>
      </w:r>
    </w:p>
    <w:p w14:paraId="7BF7D0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stock universe was selected using the following approaches:</w:t>
      </w:r>
    </w:p>
    <w:p w14:paraId="6995B67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1. Sector Diversification</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Stocks were chosen from distinct industries to reduce exposure to sector-specific risk.</w:t>
      </w:r>
    </w:p>
    <w:p w14:paraId="2BFF85D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Rolling Volatility Analysis</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Rolling standard deviation over a 30-day window was computed to analyze volatility behavior across stocks.</w:t>
      </w:r>
    </w:p>
    <w:p w14:paraId="1FF9B0A8">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3. Trend Analysis Using STL Decomposition</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Seasonal and trend decomposition was used to identify long-term directional movement and cyclical behavior.</w:t>
      </w:r>
    </w:p>
    <w:p w14:paraId="119CC10C">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513965" cy="1552575"/>
            <wp:effectExtent l="0" t="0" r="635" b="9525"/>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4"/>
                    <a:stretch>
                      <a:fillRect/>
                    </a:stretch>
                  </pic:blipFill>
                  <pic:spPr>
                    <a:xfrm>
                      <a:off x="0" y="0"/>
                      <a:ext cx="2513965" cy="1552575"/>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511425" cy="1551940"/>
            <wp:effectExtent l="0" t="0" r="3175" b="1016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5"/>
                    <a:stretch>
                      <a:fillRect/>
                    </a:stretch>
                  </pic:blipFill>
                  <pic:spPr>
                    <a:xfrm>
                      <a:off x="0" y="0"/>
                      <a:ext cx="2511425" cy="1551940"/>
                    </a:xfrm>
                    <a:prstGeom prst="rect">
                      <a:avLst/>
                    </a:prstGeom>
                    <a:noFill/>
                    <a:ln>
                      <a:noFill/>
                    </a:ln>
                  </pic:spPr>
                </pic:pic>
              </a:graphicData>
            </a:graphic>
          </wp:inline>
        </w:drawing>
      </w:r>
    </w:p>
    <w:p w14:paraId="2031E6E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rPr>
        <w:t xml:space="preserve">4. </w:t>
      </w:r>
      <w:r>
        <w:rPr>
          <w:rFonts w:hint="default" w:ascii="Times New Roman" w:hAnsi="Times New Roman" w:cs="Times New Roman"/>
          <w:sz w:val="24"/>
          <w:szCs w:val="24"/>
        </w:rPr>
        <w:t>Market Leadership</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rPr>
        <w:t>The selected companies are among the largest and most actively traded stocks in their respective sectors, ensuring strong liquidity and reliable historical data.</w:t>
      </w:r>
    </w:p>
    <w:p w14:paraId="5943EC3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051293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Data Collection and Preprocessing</w:t>
      </w:r>
    </w:p>
    <w:p w14:paraId="35757B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Specification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9"/>
        <w:gridCol w:w="2622"/>
      </w:tblGrid>
      <w:tr w14:paraId="2E2C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C7BE35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6B3CB05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3CC4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D18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w:t>
            </w:r>
          </w:p>
        </w:tc>
        <w:tc>
          <w:tcPr>
            <w:tcW w:w="0" w:type="auto"/>
            <w:shd w:val="clear" w:color="auto" w:fill="auto"/>
            <w:vAlign w:val="center"/>
          </w:tcPr>
          <w:p w14:paraId="438B90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Yahoo Finance</w:t>
            </w:r>
          </w:p>
        </w:tc>
      </w:tr>
      <w:tr w14:paraId="60AF8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A476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Library Used</w:t>
            </w:r>
          </w:p>
        </w:tc>
        <w:tc>
          <w:tcPr>
            <w:tcW w:w="0" w:type="auto"/>
            <w:shd w:val="clear" w:color="auto" w:fill="auto"/>
            <w:vAlign w:val="center"/>
          </w:tcPr>
          <w:p w14:paraId="1BCEBB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yfinance</w:t>
            </w:r>
          </w:p>
        </w:tc>
      </w:tr>
      <w:tr w14:paraId="72C9B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9800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 Period</w:t>
            </w:r>
          </w:p>
        </w:tc>
        <w:tc>
          <w:tcPr>
            <w:tcW w:w="0" w:type="auto"/>
            <w:shd w:val="clear" w:color="auto" w:fill="auto"/>
            <w:vAlign w:val="center"/>
          </w:tcPr>
          <w:p w14:paraId="6C2AA9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2021-01-01 to 2025-12-31</w:t>
            </w:r>
          </w:p>
        </w:tc>
      </w:tr>
      <w:tr w14:paraId="19926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EA4B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Frequency</w:t>
            </w:r>
          </w:p>
        </w:tc>
        <w:tc>
          <w:tcPr>
            <w:tcW w:w="0" w:type="auto"/>
            <w:shd w:val="clear" w:color="auto" w:fill="auto"/>
            <w:vAlign w:val="center"/>
          </w:tcPr>
          <w:p w14:paraId="7D4B69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Daily</w:t>
            </w:r>
          </w:p>
        </w:tc>
      </w:tr>
      <w:tr w14:paraId="57524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3D27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Split Strategy</w:t>
            </w:r>
          </w:p>
        </w:tc>
        <w:tc>
          <w:tcPr>
            <w:tcW w:w="0" w:type="auto"/>
            <w:shd w:val="clear" w:color="auto" w:fill="auto"/>
            <w:vAlign w:val="center"/>
          </w:tcPr>
          <w:p w14:paraId="563717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Train/Test</w:t>
            </w:r>
          </w:p>
        </w:tc>
      </w:tr>
    </w:tbl>
    <w:p w14:paraId="1ED702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training data consisted of all observations before July 2025, while the last six months of data were used for testing and validation.</w:t>
      </w:r>
    </w:p>
    <w:p w14:paraId="5F29B1F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 Handling</w:t>
      </w:r>
    </w:p>
    <w:p w14:paraId="31B05A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values were handled using forward fill and backward fill techniques.</w:t>
      </w:r>
    </w:p>
    <w:p w14:paraId="299A4E77">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stock_data[stock] = stock_data[stock].ffill().bfill()</w:t>
      </w:r>
    </w:p>
    <w:p w14:paraId="0E98FD5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Stationarity Testing</w:t>
      </w:r>
    </w:p>
    <w:p w14:paraId="7D2999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Augmented Dickey-Fuller (ADF) test was used to determine whether the stock price series were stationary.</w:t>
      </w:r>
    </w:p>
    <w:p w14:paraId="646D4FB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Null Hypothesis: series is non-stationary</w:t>
      </w:r>
    </w:p>
    <w:p w14:paraId="6E5143D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Alternative Hypothesis: series is stationary</w:t>
      </w:r>
    </w:p>
    <w:p w14:paraId="05F5ECC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p-value exceeded 0.05, differencing was applied.</w:t>
      </w:r>
    </w:p>
    <w:p w14:paraId="2BE440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Train-Test Split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9"/>
        <w:gridCol w:w="2782"/>
      </w:tblGrid>
      <w:tr w14:paraId="42A84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BD8ED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Dataset</w:t>
            </w:r>
          </w:p>
        </w:tc>
        <w:tc>
          <w:tcPr>
            <w:tcW w:w="0" w:type="auto"/>
            <w:shd w:val="clear" w:color="auto" w:fill="auto"/>
            <w:vAlign w:val="center"/>
          </w:tcPr>
          <w:p w14:paraId="05FF06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Period</w:t>
            </w:r>
          </w:p>
        </w:tc>
      </w:tr>
      <w:tr w14:paraId="3E637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06E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Set</w:t>
            </w:r>
          </w:p>
        </w:tc>
        <w:tc>
          <w:tcPr>
            <w:tcW w:w="0" w:type="auto"/>
            <w:shd w:val="clear" w:color="auto" w:fill="auto"/>
            <w:vAlign w:val="center"/>
          </w:tcPr>
          <w:p w14:paraId="48EC62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Before July 2025</w:t>
            </w:r>
          </w:p>
        </w:tc>
      </w:tr>
      <w:tr w14:paraId="05CE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66C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Set</w:t>
            </w:r>
          </w:p>
        </w:tc>
        <w:tc>
          <w:tcPr>
            <w:tcW w:w="0" w:type="auto"/>
            <w:shd w:val="clear" w:color="auto" w:fill="auto"/>
            <w:vAlign w:val="center"/>
          </w:tcPr>
          <w:p w14:paraId="20DD6D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July 2025 – December 2025</w:t>
            </w:r>
          </w:p>
        </w:tc>
      </w:tr>
    </w:tbl>
    <w:p w14:paraId="27E143FC">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DF6850E">
      <w:pPr>
        <w:rPr>
          <w:rFonts w:hint="default" w:ascii="Times New Roman" w:hAnsi="Times New Roman" w:cs="Times New Roman"/>
        </w:rPr>
      </w:pPr>
      <w:r>
        <w:rPr>
          <w:rFonts w:hint="default" w:ascii="Times New Roman" w:hAnsi="Times New Roman" w:cs="Times New Roman"/>
        </w:rPr>
        <w:br w:type="page"/>
      </w:r>
    </w:p>
    <w:p w14:paraId="57F26F0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Forecasting Methodology</w:t>
      </w:r>
    </w:p>
    <w:p w14:paraId="323A1E3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ARIMA Model</w:t>
      </w:r>
    </w:p>
    <w:p w14:paraId="223651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AutoRegressive Integrated Moving Average (ARIMA) model was used for forecasting future stock prices.</w:t>
      </w:r>
    </w:p>
    <w:p w14:paraId="46133D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ARIMA combines:</w:t>
      </w:r>
    </w:p>
    <w:p w14:paraId="6A39044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AutoRegression (AR)</w:t>
      </w:r>
    </w:p>
    <w:p w14:paraId="31E9A6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Integrated differencing (I)</w:t>
      </w:r>
    </w:p>
    <w:p w14:paraId="72DC8E8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Moving Average (MA)</w:t>
      </w:r>
    </w:p>
    <w:p w14:paraId="043A80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 d, q parameters were automatically optimized using the auto_arima function.</w:t>
      </w:r>
    </w:p>
    <w:p w14:paraId="161CFA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Forecasting Procedure</w:t>
      </w:r>
    </w:p>
    <w:p w14:paraId="655AC1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stock:</w:t>
      </w:r>
    </w:p>
    <w:p w14:paraId="484B2B5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Historical training data was used to fit the ARIMA model.</w:t>
      </w:r>
    </w:p>
    <w:p w14:paraId="05AFBB2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Predictions were generated for the testing period.</w:t>
      </w:r>
    </w:p>
    <w:p w14:paraId="28F7AB4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Future forecasts were generated for the next 5 trading days.</w:t>
      </w:r>
    </w:p>
    <w:p w14:paraId="4273590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Model performance metrics were computed.</w:t>
      </w:r>
    </w:p>
    <w:p w14:paraId="0A0163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 Metrics</w:t>
      </w:r>
    </w:p>
    <w:p w14:paraId="23C55D0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sz w:val="24"/>
          <w:szCs w:val="24"/>
        </w:rPr>
        <w:t>Root Mean Squared Error (RMSE)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Measures forecasting error magnitude.</w:t>
      </w:r>
    </w:p>
    <w:p w14:paraId="54AAC179">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Mean Absolute Percentage Error (MAPE)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Measures percentage forecasting accuracy.</w:t>
      </w:r>
    </w:p>
    <w:p w14:paraId="52299F0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Directional Accuracy</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Measures whether the model correctly predicted stock movement direction.</w:t>
      </w:r>
    </w:p>
    <w:p w14:paraId="3549C29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5662B6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p>
    <w:p w14:paraId="477193ED">
      <w:pPr>
        <w:rPr>
          <w:rFonts w:hint="default" w:ascii="Times New Roman" w:hAnsi="Times New Roman" w:cs="Times New Roman"/>
        </w:rPr>
      </w:pPr>
      <w:r>
        <w:rPr>
          <w:rFonts w:hint="default" w:ascii="Times New Roman" w:hAnsi="Times New Roman" w:cs="Times New Roman"/>
        </w:rPr>
        <w:br w:type="page"/>
      </w:r>
    </w:p>
    <w:p w14:paraId="0936411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Volatility and Trend Analysis</w:t>
      </w:r>
    </w:p>
    <w:p w14:paraId="3EC31D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Log Return Computation</w:t>
      </w:r>
    </w:p>
    <w:p w14:paraId="372336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Log returns were computed using:</w:t>
      </w:r>
      <w:r>
        <w:rPr>
          <w:rFonts w:hint="default" w:ascii="Times New Roman" w:hAnsi="Times New Roman" w:cs="Times New Roman"/>
          <w:lang w:val="en-US"/>
        </w:rPr>
        <w:t xml:space="preserve">  </w:t>
      </w:r>
      <w:r>
        <w:rPr>
          <w:rFonts w:hint="default" w:ascii="Times New Roman" w:hAnsi="Times New Roman" w:cs="Times New Roman"/>
        </w:rPr>
        <w:t>r(t) = ln(P(t) / P(t-1))</w:t>
      </w:r>
    </w:p>
    <w:p w14:paraId="6EB48DD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where:</w:t>
      </w:r>
      <w:r>
        <w:rPr>
          <w:rFonts w:hint="default" w:ascii="Times New Roman" w:hAnsi="Times New Roman" w:cs="Times New Roman"/>
          <w:sz w:val="24"/>
          <w:szCs w:val="24"/>
          <w:lang w:val="en-US"/>
        </w:rPr>
        <w:t xml:space="preserve">  </w:t>
      </w:r>
      <w:r>
        <w:rPr>
          <w:rFonts w:hint="default" w:ascii="Times New Roman" w:hAnsi="Times New Roman" w:cs="Times New Roman"/>
          <w:lang w:val="en-US"/>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P(t) is current closing price</w:t>
      </w:r>
    </w:p>
    <w:p w14:paraId="62B32B35">
      <w:pPr>
        <w:keepNext w:val="0"/>
        <w:keepLines w:val="0"/>
        <w:widowControl/>
        <w:suppressLineNumbers w:val="0"/>
        <w:ind w:firstLine="840" w:firstLineChars="35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P(t-1) is previous closing price</w:t>
      </w:r>
    </w:p>
    <w:p w14:paraId="172FB6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Rolling Volatility</w:t>
      </w:r>
    </w:p>
    <w:p w14:paraId="561C647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30-day rolling standard deviation of log returns was used to estimate short-term market volatility.</w:t>
      </w:r>
    </w:p>
    <w:p w14:paraId="2B5BF3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546350" cy="1066165"/>
            <wp:effectExtent l="0" t="0" r="6350" b="635"/>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6"/>
                    <a:stretch>
                      <a:fillRect/>
                    </a:stretch>
                  </pic:blipFill>
                  <pic:spPr>
                    <a:xfrm>
                      <a:off x="0" y="0"/>
                      <a:ext cx="2546350" cy="1066165"/>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395855" cy="1064260"/>
            <wp:effectExtent l="0" t="0" r="4445" b="254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7"/>
                    <a:stretch>
                      <a:fillRect/>
                    </a:stretch>
                  </pic:blipFill>
                  <pic:spPr>
                    <a:xfrm>
                      <a:off x="0" y="0"/>
                      <a:ext cx="2395855" cy="1064260"/>
                    </a:xfrm>
                    <a:prstGeom prst="rect">
                      <a:avLst/>
                    </a:prstGeom>
                    <a:noFill/>
                    <a:ln>
                      <a:noFill/>
                    </a:ln>
                  </pic:spPr>
                </pic:pic>
              </a:graphicData>
            </a:graphic>
          </wp:inline>
        </w:drawing>
      </w:r>
    </w:p>
    <w:p w14:paraId="042473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512695" cy="1051560"/>
            <wp:effectExtent l="0" t="0" r="1905" b="254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pic:cNvPicPr>
                  </pic:nvPicPr>
                  <pic:blipFill>
                    <a:blip r:embed="rId8"/>
                    <a:stretch>
                      <a:fillRect/>
                    </a:stretch>
                  </pic:blipFill>
                  <pic:spPr>
                    <a:xfrm>
                      <a:off x="0" y="0"/>
                      <a:ext cx="2512695" cy="1051560"/>
                    </a:xfrm>
                    <a:prstGeom prst="snip2Same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444115" cy="1014095"/>
            <wp:effectExtent l="0" t="0" r="6985" b="1905"/>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9"/>
                    <a:stretch>
                      <a:fillRect/>
                    </a:stretch>
                  </pic:blipFill>
                  <pic:spPr>
                    <a:xfrm>
                      <a:off x="0" y="0"/>
                      <a:ext cx="2444115" cy="1014095"/>
                    </a:xfrm>
                    <a:prstGeom prst="rect">
                      <a:avLst/>
                    </a:prstGeom>
                    <a:noFill/>
                    <a:ln>
                      <a:noFill/>
                    </a:ln>
                  </pic:spPr>
                </pic:pic>
              </a:graphicData>
            </a:graphic>
          </wp:inline>
        </w:drawing>
      </w:r>
    </w:p>
    <w:p w14:paraId="39AB06E4">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520950" cy="975360"/>
            <wp:effectExtent l="0" t="0" r="6350" b="254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0"/>
                    <a:stretch>
                      <a:fillRect/>
                    </a:stretch>
                  </pic:blipFill>
                  <pic:spPr>
                    <a:xfrm>
                      <a:off x="0" y="0"/>
                      <a:ext cx="2520950" cy="975360"/>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489200" cy="1000760"/>
            <wp:effectExtent l="0" t="0" r="0" b="254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1"/>
                    <a:stretch>
                      <a:fillRect/>
                    </a:stretch>
                  </pic:blipFill>
                  <pic:spPr>
                    <a:xfrm>
                      <a:off x="0" y="0"/>
                      <a:ext cx="2489200" cy="1000760"/>
                    </a:xfrm>
                    <a:prstGeom prst="rect">
                      <a:avLst/>
                    </a:prstGeom>
                    <a:noFill/>
                    <a:ln>
                      <a:noFill/>
                    </a:ln>
                  </pic:spPr>
                </pic:pic>
              </a:graphicData>
            </a:graphic>
          </wp:inline>
        </w:drawing>
      </w:r>
    </w:p>
    <w:p w14:paraId="3D2D547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STL Decomposition</w:t>
      </w:r>
    </w:p>
    <w:p w14:paraId="5F308E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Seasonal Trend decomposition using Loess (STL) was applied to separate:</w:t>
      </w:r>
    </w:p>
    <w:p w14:paraId="511BD6F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trend component</w:t>
      </w:r>
    </w:p>
    <w:p w14:paraId="71F3BD9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seasonal component</w:t>
      </w:r>
    </w:p>
    <w:p w14:paraId="1428E4E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residual/noise component</w:t>
      </w:r>
    </w:p>
    <w:p w14:paraId="3AD778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decomposition plots revealed that most selected stocks demonstrated long-term upward trends with moderate seasonal fluctuations.</w:t>
      </w:r>
    </w:p>
    <w:p w14:paraId="501722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325BD7">
      <w:pPr>
        <w:rPr>
          <w:rFonts w:hint="default" w:ascii="Times New Roman" w:hAnsi="Times New Roman" w:cs="Times New Roman"/>
        </w:rPr>
      </w:pPr>
      <w:r>
        <w:rPr>
          <w:rFonts w:hint="default" w:ascii="Times New Roman" w:hAnsi="Times New Roman" w:cs="Times New Roman"/>
        </w:rPr>
        <w:br w:type="page"/>
      </w:r>
    </w:p>
    <w:p w14:paraId="4A0576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Correlation and Diversification Analysis</w:t>
      </w:r>
    </w:p>
    <w:p w14:paraId="17CAB6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minimize portfolio-level risk, correlation analysis was performed across all selected stocks.</w:t>
      </w:r>
    </w:p>
    <w:p w14:paraId="5A64B3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correlation heatmap was generated using percentage returns.</w:t>
      </w:r>
    </w:p>
    <w:p w14:paraId="0E7879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745355" cy="4295775"/>
            <wp:effectExtent l="0" t="0" r="4445" b="952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2"/>
                    <a:stretch>
                      <a:fillRect/>
                    </a:stretch>
                  </pic:blipFill>
                  <pic:spPr>
                    <a:xfrm>
                      <a:off x="0" y="0"/>
                      <a:ext cx="4745355" cy="4295775"/>
                    </a:xfrm>
                    <a:prstGeom prst="rect">
                      <a:avLst/>
                    </a:prstGeom>
                    <a:noFill/>
                    <a:ln>
                      <a:noFill/>
                    </a:ln>
                  </pic:spPr>
                </pic:pic>
              </a:graphicData>
            </a:graphic>
          </wp:inline>
        </w:drawing>
      </w:r>
    </w:p>
    <w:p w14:paraId="543714E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analysis showed that:</w:t>
      </w:r>
    </w:p>
    <w:p w14:paraId="6CA68C1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sector diversification reduced correlation concentration</w:t>
      </w:r>
    </w:p>
    <w:p w14:paraId="308224B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banking and FMCG stocks behaved more defensively</w:t>
      </w:r>
    </w:p>
    <w:p w14:paraId="6154F28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IT and automobile sectors displayed higher volatility</w:t>
      </w:r>
    </w:p>
    <w:p w14:paraId="4EC688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diversification strategy helped reduce overall portfolio risk during the live trading window.</w:t>
      </w:r>
    </w:p>
    <w:p w14:paraId="60FB61B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83FB21D">
      <w:pPr>
        <w:rPr>
          <w:rFonts w:hint="default" w:ascii="Times New Roman" w:hAnsi="Times New Roman" w:cs="Times New Roman"/>
        </w:rPr>
      </w:pPr>
      <w:r>
        <w:rPr>
          <w:rFonts w:hint="default" w:ascii="Times New Roman" w:hAnsi="Times New Roman" w:cs="Times New Roman"/>
        </w:rPr>
        <w:br w:type="page"/>
      </w:r>
    </w:p>
    <w:p w14:paraId="0E421A7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Portfolio Construction</w:t>
      </w:r>
    </w:p>
    <w:p w14:paraId="2DD7B7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Portfolio allocation was based on:</w:t>
      </w:r>
    </w:p>
    <w:p w14:paraId="1362F74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volatility-aware weighting</w:t>
      </w:r>
    </w:p>
    <w:p w14:paraId="46AAF30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forecast-guided allocation</w:t>
      </w:r>
    </w:p>
    <w:p w14:paraId="65B116D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diversification strategy</w:t>
      </w:r>
    </w:p>
    <w:p w14:paraId="71347D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Volatility-Aware Weighting</w:t>
      </w:r>
    </w:p>
    <w:p w14:paraId="69E635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Stocks with lower predicted volatility received larger allocations.</w:t>
      </w:r>
    </w:p>
    <w:p w14:paraId="1C0D25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weighting formula used was:</w:t>
      </w:r>
    </w:p>
    <w:p w14:paraId="7AB6F1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w(i) = (1 / sigma(i)) / SUM(1 / sigma(j))</w:t>
      </w:r>
    </w:p>
    <w:p w14:paraId="088ADC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where sigma(i) represents predicted volatility.</w:t>
      </w:r>
    </w:p>
    <w:p w14:paraId="7652DC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Final Portfolio Allocation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874"/>
        <w:gridCol w:w="1267"/>
        <w:gridCol w:w="2289"/>
      </w:tblGrid>
      <w:tr w14:paraId="337A5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9667F4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Stock</w:t>
            </w:r>
          </w:p>
        </w:tc>
        <w:tc>
          <w:tcPr>
            <w:tcW w:w="0" w:type="auto"/>
            <w:shd w:val="clear" w:color="auto" w:fill="auto"/>
            <w:vAlign w:val="center"/>
          </w:tcPr>
          <w:p w14:paraId="2491176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Sector</w:t>
            </w:r>
          </w:p>
        </w:tc>
        <w:tc>
          <w:tcPr>
            <w:tcW w:w="0" w:type="auto"/>
            <w:shd w:val="clear" w:color="auto" w:fill="auto"/>
            <w:vAlign w:val="center"/>
          </w:tcPr>
          <w:p w14:paraId="71B510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Weight (%)</w:t>
            </w:r>
          </w:p>
        </w:tc>
        <w:tc>
          <w:tcPr>
            <w:tcW w:w="0" w:type="auto"/>
            <w:shd w:val="clear" w:color="auto" w:fill="auto"/>
            <w:vAlign w:val="center"/>
          </w:tcPr>
          <w:p w14:paraId="4EE4F6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Allocated Amount (₹)</w:t>
            </w:r>
          </w:p>
        </w:tc>
      </w:tr>
      <w:tr w14:paraId="6F1E7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291D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HDFCBANK.NS</w:t>
            </w:r>
          </w:p>
        </w:tc>
        <w:tc>
          <w:tcPr>
            <w:tcW w:w="0" w:type="auto"/>
            <w:shd w:val="clear" w:color="auto" w:fill="auto"/>
            <w:vAlign w:val="center"/>
          </w:tcPr>
          <w:p w14:paraId="2A05FB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Banking</w:t>
            </w:r>
          </w:p>
        </w:tc>
        <w:tc>
          <w:tcPr>
            <w:tcW w:w="0" w:type="auto"/>
            <w:shd w:val="clear" w:color="auto" w:fill="auto"/>
            <w:vAlign w:val="center"/>
          </w:tcPr>
          <w:p w14:paraId="004B7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17.06</w:t>
            </w:r>
          </w:p>
        </w:tc>
        <w:tc>
          <w:tcPr>
            <w:tcW w:w="0" w:type="auto"/>
            <w:shd w:val="clear" w:color="auto" w:fill="auto"/>
            <w:vAlign w:val="center"/>
          </w:tcPr>
          <w:p w14:paraId="0786A6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170569.02</w:t>
            </w:r>
          </w:p>
        </w:tc>
      </w:tr>
      <w:tr w14:paraId="3782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C603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TCS.NS</w:t>
            </w:r>
          </w:p>
        </w:tc>
        <w:tc>
          <w:tcPr>
            <w:tcW w:w="0" w:type="auto"/>
            <w:shd w:val="clear" w:color="auto" w:fill="auto"/>
            <w:vAlign w:val="center"/>
          </w:tcPr>
          <w:p w14:paraId="053B9B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IT</w:t>
            </w:r>
          </w:p>
        </w:tc>
        <w:tc>
          <w:tcPr>
            <w:tcW w:w="0" w:type="auto"/>
            <w:shd w:val="clear" w:color="auto" w:fill="auto"/>
            <w:vAlign w:val="center"/>
          </w:tcPr>
          <w:p w14:paraId="404A5D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16.94</w:t>
            </w:r>
          </w:p>
        </w:tc>
        <w:tc>
          <w:tcPr>
            <w:tcW w:w="0" w:type="auto"/>
            <w:shd w:val="clear" w:color="auto" w:fill="auto"/>
            <w:vAlign w:val="center"/>
          </w:tcPr>
          <w:p w14:paraId="128FA5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169364.68</w:t>
            </w:r>
          </w:p>
        </w:tc>
      </w:tr>
      <w:tr w14:paraId="3412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FD2D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SUNPHARMA.NS</w:t>
            </w:r>
          </w:p>
        </w:tc>
        <w:tc>
          <w:tcPr>
            <w:tcW w:w="0" w:type="auto"/>
            <w:shd w:val="clear" w:color="auto" w:fill="auto"/>
            <w:vAlign w:val="center"/>
          </w:tcPr>
          <w:p w14:paraId="3AF608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Pharma</w:t>
            </w:r>
          </w:p>
        </w:tc>
        <w:tc>
          <w:tcPr>
            <w:tcW w:w="0" w:type="auto"/>
            <w:shd w:val="clear" w:color="auto" w:fill="auto"/>
            <w:vAlign w:val="center"/>
          </w:tcPr>
          <w:p w14:paraId="5A0A1E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17.07</w:t>
            </w:r>
          </w:p>
        </w:tc>
        <w:tc>
          <w:tcPr>
            <w:tcW w:w="0" w:type="auto"/>
            <w:shd w:val="clear" w:color="auto" w:fill="auto"/>
            <w:vAlign w:val="center"/>
          </w:tcPr>
          <w:p w14:paraId="3299F7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170747.89</w:t>
            </w:r>
          </w:p>
        </w:tc>
      </w:tr>
      <w:tr w14:paraId="5E183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AF4B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HINDUNILVR.NS</w:t>
            </w:r>
          </w:p>
        </w:tc>
        <w:tc>
          <w:tcPr>
            <w:tcW w:w="0" w:type="auto"/>
            <w:shd w:val="clear" w:color="auto" w:fill="auto"/>
            <w:vAlign w:val="center"/>
          </w:tcPr>
          <w:p w14:paraId="100D34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FMCG</w:t>
            </w:r>
          </w:p>
        </w:tc>
        <w:tc>
          <w:tcPr>
            <w:tcW w:w="0" w:type="auto"/>
            <w:shd w:val="clear" w:color="auto" w:fill="auto"/>
            <w:vAlign w:val="center"/>
          </w:tcPr>
          <w:p w14:paraId="2BDF84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17.65</w:t>
            </w:r>
          </w:p>
        </w:tc>
        <w:tc>
          <w:tcPr>
            <w:tcW w:w="0" w:type="auto"/>
            <w:shd w:val="clear" w:color="auto" w:fill="auto"/>
            <w:vAlign w:val="center"/>
          </w:tcPr>
          <w:p w14:paraId="511507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176461.35</w:t>
            </w:r>
          </w:p>
        </w:tc>
      </w:tr>
      <w:tr w14:paraId="7EBBC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B47F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MARUTI.NS</w:t>
            </w:r>
          </w:p>
        </w:tc>
        <w:tc>
          <w:tcPr>
            <w:tcW w:w="0" w:type="auto"/>
            <w:shd w:val="clear" w:color="auto" w:fill="auto"/>
            <w:vAlign w:val="center"/>
          </w:tcPr>
          <w:p w14:paraId="49BECE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w:t>
            </w:r>
          </w:p>
        </w:tc>
        <w:tc>
          <w:tcPr>
            <w:tcW w:w="0" w:type="auto"/>
            <w:shd w:val="clear" w:color="auto" w:fill="auto"/>
            <w:vAlign w:val="center"/>
          </w:tcPr>
          <w:p w14:paraId="458EC8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15.56</w:t>
            </w:r>
          </w:p>
        </w:tc>
        <w:tc>
          <w:tcPr>
            <w:tcW w:w="0" w:type="auto"/>
            <w:shd w:val="clear" w:color="auto" w:fill="auto"/>
            <w:vAlign w:val="center"/>
          </w:tcPr>
          <w:p w14:paraId="5CDE3F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155577.80</w:t>
            </w:r>
          </w:p>
        </w:tc>
      </w:tr>
      <w:tr w14:paraId="2EA1A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005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RELIANCE.NS</w:t>
            </w:r>
          </w:p>
        </w:tc>
        <w:tc>
          <w:tcPr>
            <w:tcW w:w="0" w:type="auto"/>
            <w:shd w:val="clear" w:color="auto" w:fill="auto"/>
            <w:vAlign w:val="center"/>
          </w:tcPr>
          <w:p w14:paraId="247333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Energy</w:t>
            </w:r>
          </w:p>
        </w:tc>
        <w:tc>
          <w:tcPr>
            <w:tcW w:w="0" w:type="auto"/>
            <w:shd w:val="clear" w:color="auto" w:fill="auto"/>
            <w:vAlign w:val="center"/>
          </w:tcPr>
          <w:p w14:paraId="0699C5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15.73</w:t>
            </w:r>
          </w:p>
        </w:tc>
        <w:tc>
          <w:tcPr>
            <w:tcW w:w="0" w:type="auto"/>
            <w:shd w:val="clear" w:color="auto" w:fill="auto"/>
            <w:vAlign w:val="center"/>
          </w:tcPr>
          <w:p w14:paraId="68BDF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157279.27</w:t>
            </w:r>
          </w:p>
        </w:tc>
      </w:tr>
    </w:tbl>
    <w:p w14:paraId="74E400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Total capital deployed: ₹10,00,000</w:t>
      </w:r>
    </w:p>
    <w:p w14:paraId="43363A7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BEB4FF5">
      <w:pPr>
        <w:rPr>
          <w:rFonts w:hint="default" w:ascii="Times New Roman" w:hAnsi="Times New Roman" w:cs="Times New Roman"/>
        </w:rPr>
      </w:pPr>
      <w:r>
        <w:rPr>
          <w:rFonts w:hint="default" w:ascii="Times New Roman" w:hAnsi="Times New Roman" w:cs="Times New Roman"/>
        </w:rPr>
        <w:br w:type="page"/>
      </w:r>
    </w:p>
    <w:p w14:paraId="3AE1916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Model Evaluation</w:t>
      </w:r>
    </w:p>
    <w:p w14:paraId="27F564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was evaluated using historical testing data.</w:t>
      </w:r>
    </w:p>
    <w:p w14:paraId="4D14C482">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09060" cy="1807210"/>
            <wp:effectExtent l="0" t="0" r="2540" b="889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pic:cNvPicPr>
                      <a:picLocks noChangeAspect="1"/>
                    </pic:cNvPicPr>
                  </pic:nvPicPr>
                  <pic:blipFill>
                    <a:blip r:embed="rId13"/>
                    <a:stretch>
                      <a:fillRect/>
                    </a:stretch>
                  </pic:blipFill>
                  <pic:spPr>
                    <a:xfrm>
                      <a:off x="0" y="0"/>
                      <a:ext cx="3909060" cy="1807210"/>
                    </a:xfrm>
                    <a:prstGeom prst="rect">
                      <a:avLst/>
                    </a:prstGeom>
                    <a:noFill/>
                    <a:ln>
                      <a:noFill/>
                    </a:ln>
                  </pic:spPr>
                </pic:pic>
              </a:graphicData>
            </a:graphic>
          </wp:inline>
        </w:drawing>
      </w:r>
      <w:r>
        <w:rPr>
          <w:rFonts w:hint="default" w:ascii="Times New Roman" w:hAnsi="Times New Roman" w:cs="Times New Roman"/>
          <w:lang w:val="en-US"/>
        </w:rPr>
        <w:t xml:space="preserve">  </w:t>
      </w:r>
    </w:p>
    <w:p w14:paraId="46185C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909695" cy="1804670"/>
            <wp:effectExtent l="0" t="0" r="1905" b="11430"/>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pic:cNvPicPr>
                      <a:picLocks noChangeAspect="1"/>
                    </pic:cNvPicPr>
                  </pic:nvPicPr>
                  <pic:blipFill>
                    <a:blip r:embed="rId14"/>
                    <a:stretch>
                      <a:fillRect/>
                    </a:stretch>
                  </pic:blipFill>
                  <pic:spPr>
                    <a:xfrm>
                      <a:off x="0" y="0"/>
                      <a:ext cx="3909695" cy="1804670"/>
                    </a:xfrm>
                    <a:prstGeom prst="rect">
                      <a:avLst/>
                    </a:prstGeom>
                    <a:noFill/>
                    <a:ln>
                      <a:noFill/>
                    </a:ln>
                  </pic:spPr>
                </pic:pic>
              </a:graphicData>
            </a:graphic>
          </wp:inline>
        </w:drawing>
      </w:r>
    </w:p>
    <w:p w14:paraId="39E732BA">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10330" cy="1798955"/>
            <wp:effectExtent l="0" t="0" r="1270" b="4445"/>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
                    <pic:cNvPicPr>
                      <a:picLocks noChangeAspect="1"/>
                    </pic:cNvPicPr>
                  </pic:nvPicPr>
                  <pic:blipFill>
                    <a:blip r:embed="rId15"/>
                    <a:stretch>
                      <a:fillRect/>
                    </a:stretch>
                  </pic:blipFill>
                  <pic:spPr>
                    <a:xfrm>
                      <a:off x="0" y="0"/>
                      <a:ext cx="3910330" cy="1798955"/>
                    </a:xfrm>
                    <a:prstGeom prst="rect">
                      <a:avLst/>
                    </a:prstGeom>
                    <a:noFill/>
                    <a:ln>
                      <a:noFill/>
                    </a:ln>
                  </pic:spPr>
                </pic:pic>
              </a:graphicData>
            </a:graphic>
          </wp:inline>
        </w:drawing>
      </w:r>
      <w:r>
        <w:rPr>
          <w:rFonts w:hint="default" w:ascii="Times New Roman" w:hAnsi="Times New Roman" w:cs="Times New Roman"/>
          <w:lang w:val="en-US"/>
        </w:rPr>
        <w:t xml:space="preserve"> </w:t>
      </w:r>
    </w:p>
    <w:p w14:paraId="619D65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894455" cy="1798955"/>
            <wp:effectExtent l="0" t="0" r="4445" b="4445"/>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pic:cNvPicPr>
                      <a:picLocks noChangeAspect="1"/>
                    </pic:cNvPicPr>
                  </pic:nvPicPr>
                  <pic:blipFill>
                    <a:blip r:embed="rId16"/>
                    <a:stretch>
                      <a:fillRect/>
                    </a:stretch>
                  </pic:blipFill>
                  <pic:spPr>
                    <a:xfrm>
                      <a:off x="0" y="0"/>
                      <a:ext cx="3894455" cy="1798955"/>
                    </a:xfrm>
                    <a:prstGeom prst="rect">
                      <a:avLst/>
                    </a:prstGeom>
                    <a:noFill/>
                    <a:ln>
                      <a:noFill/>
                    </a:ln>
                  </pic:spPr>
                </pic:pic>
              </a:graphicData>
            </a:graphic>
          </wp:inline>
        </w:drawing>
      </w:r>
    </w:p>
    <w:p w14:paraId="371BA3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952875" cy="1814830"/>
            <wp:effectExtent l="0" t="0" r="9525" b="127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9"/>
                    <pic:cNvPicPr>
                      <a:picLocks noChangeAspect="1"/>
                    </pic:cNvPicPr>
                  </pic:nvPicPr>
                  <pic:blipFill>
                    <a:blip r:embed="rId17"/>
                    <a:stretch>
                      <a:fillRect/>
                    </a:stretch>
                  </pic:blipFill>
                  <pic:spPr>
                    <a:xfrm>
                      <a:off x="0" y="0"/>
                      <a:ext cx="3952875" cy="1814830"/>
                    </a:xfrm>
                    <a:prstGeom prst="rect">
                      <a:avLst/>
                    </a:prstGeom>
                    <a:noFill/>
                    <a:ln>
                      <a:noFill/>
                    </a:ln>
                  </pic:spPr>
                </pic:pic>
              </a:graphicData>
            </a:graphic>
          </wp:inline>
        </w:drawing>
      </w:r>
    </w:p>
    <w:p w14:paraId="6F133604">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88435" cy="1824355"/>
            <wp:effectExtent l="0" t="0" r="12065" b="4445"/>
            <wp:docPr id="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0"/>
                    <pic:cNvPicPr>
                      <a:picLocks noChangeAspect="1"/>
                    </pic:cNvPicPr>
                  </pic:nvPicPr>
                  <pic:blipFill>
                    <a:blip r:embed="rId18"/>
                    <a:stretch>
                      <a:fillRect/>
                    </a:stretch>
                  </pic:blipFill>
                  <pic:spPr>
                    <a:xfrm>
                      <a:off x="0" y="0"/>
                      <a:ext cx="3988435" cy="1824355"/>
                    </a:xfrm>
                    <a:prstGeom prst="rect">
                      <a:avLst/>
                    </a:prstGeom>
                    <a:noFill/>
                    <a:ln>
                      <a:noFill/>
                    </a:ln>
                  </pic:spPr>
                </pic:pic>
              </a:graphicData>
            </a:graphic>
          </wp:inline>
        </w:drawing>
      </w:r>
    </w:p>
    <w:p w14:paraId="7AEFC29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Observations</w:t>
      </w:r>
    </w:p>
    <w:p w14:paraId="465BDDD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Strengths</w:t>
      </w:r>
    </w:p>
    <w:p w14:paraId="2742A8F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effective for short-term forecasting</w:t>
      </w:r>
    </w:p>
    <w:p w14:paraId="75AD7D7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interpretable statistical structure</w:t>
      </w:r>
    </w:p>
    <w:p w14:paraId="2EA3B56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efficient on structured financial data</w:t>
      </w:r>
    </w:p>
    <w:p w14:paraId="42CCC86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stable forecasting performance on low-volatility stocks</w:t>
      </w:r>
    </w:p>
    <w:p w14:paraId="564656F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Limitations</w:t>
      </w:r>
    </w:p>
    <w:p w14:paraId="6078915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struggled with sudden market fluctuations</w:t>
      </w:r>
    </w:p>
    <w:p w14:paraId="65C4D10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limited ability to capture nonlinear behavior</w:t>
      </w:r>
    </w:p>
    <w:p w14:paraId="035005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sensitive to high volatility periods</w:t>
      </w:r>
    </w:p>
    <w:p w14:paraId="49E60C1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Assessment</w:t>
      </w:r>
    </w:p>
    <w:p w14:paraId="2E38F9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produced reasonable short-term forecasts and successfully generated a balanced portfolio allocation strategy.</w:t>
      </w:r>
    </w:p>
    <w:p w14:paraId="012DA4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468CA8E">
      <w:pPr>
        <w:rPr>
          <w:rFonts w:hint="default" w:ascii="Times New Roman" w:hAnsi="Times New Roman" w:cs="Times New Roman"/>
        </w:rPr>
      </w:pPr>
      <w:r>
        <w:rPr>
          <w:rFonts w:hint="default" w:ascii="Times New Roman" w:hAnsi="Times New Roman" w:cs="Times New Roman"/>
        </w:rPr>
        <w:br w:type="page"/>
      </w:r>
    </w:p>
    <w:p w14:paraId="6DE275C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StockGro Execution Summary</w:t>
      </w:r>
    </w:p>
    <w:p w14:paraId="40C111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generated portfolio was implemented on the StockGro virtual trading platform.</w:t>
      </w:r>
    </w:p>
    <w:p w14:paraId="56ABB8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Trading Window</w:t>
      </w:r>
    </w:p>
    <w:p w14:paraId="1AFFC0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Wed 13 May</w:t>
      </w:r>
      <w:r>
        <w:rPr>
          <w:rFonts w:hint="default" w:ascii="Times New Roman" w:hAnsi="Times New Roman" w:cs="Times New Roman"/>
        </w:rPr>
        <w:t xml:space="preserve"> → Thu 1</w:t>
      </w:r>
      <w:r>
        <w:rPr>
          <w:rFonts w:hint="default" w:ascii="Times New Roman" w:hAnsi="Times New Roman" w:cs="Times New Roman"/>
          <w:lang w:val="en-US"/>
        </w:rPr>
        <w:t>4</w:t>
      </w:r>
      <w:r>
        <w:rPr>
          <w:rFonts w:hint="default" w:ascii="Times New Roman" w:hAnsi="Times New Roman" w:cs="Times New Roman"/>
        </w:rPr>
        <w:t xml:space="preserve"> May</w:t>
      </w:r>
    </w:p>
    <w:p w14:paraId="42CBFD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Execution Details</w:t>
      </w:r>
    </w:p>
    <w:p w14:paraId="249A9F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trades were executed according to the portfolio allocation generated by the forecasting pipeline.</w:t>
      </w:r>
    </w:p>
    <w:p w14:paraId="2AFE69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600575" cy="1974850"/>
            <wp:effectExtent l="0" t="0" r="9525" b="635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1"/>
                    <pic:cNvPicPr>
                      <a:picLocks noChangeAspect="1"/>
                    </pic:cNvPicPr>
                  </pic:nvPicPr>
                  <pic:blipFill>
                    <a:blip r:embed="rId19"/>
                    <a:stretch>
                      <a:fillRect/>
                    </a:stretch>
                  </pic:blipFill>
                  <pic:spPr>
                    <a:xfrm>
                      <a:off x="0" y="0"/>
                      <a:ext cx="4600575" cy="1974850"/>
                    </a:xfrm>
                    <a:prstGeom prst="rect">
                      <a:avLst/>
                    </a:prstGeom>
                    <a:noFill/>
                    <a:ln>
                      <a:noFill/>
                    </a:ln>
                  </pic:spPr>
                </pic:pic>
              </a:graphicData>
            </a:graphic>
          </wp:inline>
        </w:drawing>
      </w:r>
    </w:p>
    <w:p w14:paraId="2428270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 Portfolio Snapshot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2442"/>
      </w:tblGrid>
      <w:tr w14:paraId="4FF46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4FE04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74A113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28B2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A9D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Initial Capital</w:t>
            </w:r>
          </w:p>
        </w:tc>
        <w:tc>
          <w:tcPr>
            <w:tcW w:w="0" w:type="auto"/>
            <w:shd w:val="clear" w:color="auto" w:fill="auto"/>
            <w:vAlign w:val="center"/>
          </w:tcPr>
          <w:p w14:paraId="7D34B3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₹10,00,000</w:t>
            </w:r>
          </w:p>
        </w:tc>
      </w:tr>
      <w:tr w14:paraId="3FE4A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89A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Invested Value</w:t>
            </w:r>
          </w:p>
        </w:tc>
        <w:tc>
          <w:tcPr>
            <w:tcW w:w="0" w:type="auto"/>
            <w:shd w:val="clear" w:color="auto" w:fill="auto"/>
            <w:vAlign w:val="center"/>
          </w:tcPr>
          <w:p w14:paraId="1858EA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₹9,98,448.52</w:t>
            </w:r>
          </w:p>
        </w:tc>
      </w:tr>
      <w:tr w14:paraId="416B2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9FB3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Portfolio Type</w:t>
            </w:r>
          </w:p>
        </w:tc>
        <w:tc>
          <w:tcPr>
            <w:tcW w:w="0" w:type="auto"/>
            <w:shd w:val="clear" w:color="auto" w:fill="auto"/>
            <w:vAlign w:val="center"/>
          </w:tcPr>
          <w:p w14:paraId="0E9C32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Diversified Multi-Sector</w:t>
            </w:r>
          </w:p>
        </w:tc>
      </w:tr>
    </w:tbl>
    <w:p w14:paraId="7DC1A4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consisted of:</w:t>
      </w:r>
    </w:p>
    <w:p w14:paraId="14B72CC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HDFC Bank</w:t>
      </w:r>
    </w:p>
    <w:p w14:paraId="4D2DB2A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TCS</w:t>
      </w:r>
    </w:p>
    <w:p w14:paraId="56A1440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Sun Pharma</w:t>
      </w:r>
    </w:p>
    <w:p w14:paraId="33A839B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Hindustan Unilever</w:t>
      </w:r>
    </w:p>
    <w:p w14:paraId="55E9F99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Maruti Suzuki</w:t>
      </w:r>
    </w:p>
    <w:p w14:paraId="107720C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Reliance Industries</w:t>
      </w:r>
    </w:p>
    <w:p w14:paraId="46F315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Screenshots of holdings, allocation, and portfolio returns were recorded as proof of execution.</w:t>
      </w:r>
    </w:p>
    <w:p w14:paraId="5D3E00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DED7DE6">
      <w:pPr>
        <w:rPr>
          <w:rFonts w:hint="default" w:ascii="Times New Roman" w:hAnsi="Times New Roman" w:cs="Times New Roman"/>
        </w:rPr>
      </w:pPr>
      <w:r>
        <w:rPr>
          <w:rFonts w:hint="default" w:ascii="Times New Roman" w:hAnsi="Times New Roman" w:cs="Times New Roman"/>
        </w:rPr>
        <w:br w:type="page"/>
      </w:r>
    </w:p>
    <w:p w14:paraId="0C8087E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Predicted vs Actual Market Performance</w:t>
      </w:r>
    </w:p>
    <w:p w14:paraId="5EE4DD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was monitored over the selected two-day trading window.</w:t>
      </w:r>
    </w:p>
    <w:p w14:paraId="7C3277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Actual Market Observations</w:t>
      </w:r>
    </w:p>
    <w:p w14:paraId="451CAF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Best Performing Stock</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HDFCBANK.NS</w:t>
      </w:r>
    </w:p>
    <w:p w14:paraId="669F29CF">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Worst Performing Stock</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TCS.NS</w:t>
      </w:r>
    </w:p>
    <w:p w14:paraId="7E2D0C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Portfolio Outcome</w:t>
      </w:r>
    </w:p>
    <w:p w14:paraId="248619E1">
      <w:r>
        <w:drawing>
          <wp:inline distT="0" distB="0" distL="114300" distR="114300">
            <wp:extent cx="5267960" cy="2204720"/>
            <wp:effectExtent l="0" t="0" r="2540" b="5080"/>
            <wp:docPr id="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2"/>
                    <pic:cNvPicPr>
                      <a:picLocks noChangeAspect="1"/>
                    </pic:cNvPicPr>
                  </pic:nvPicPr>
                  <pic:blipFill>
                    <a:blip r:embed="rId20"/>
                    <a:stretch>
                      <a:fillRect/>
                    </a:stretch>
                  </pic:blipFill>
                  <pic:spPr>
                    <a:xfrm>
                      <a:off x="0" y="0"/>
                      <a:ext cx="5267960" cy="2204720"/>
                    </a:xfrm>
                    <a:prstGeom prst="rect">
                      <a:avLst/>
                    </a:prstGeom>
                    <a:noFill/>
                    <a:ln>
                      <a:noFill/>
                    </a:ln>
                  </pic:spPr>
                </pic:pic>
              </a:graphicData>
            </a:graphic>
          </wp:inline>
        </w:drawing>
      </w:r>
    </w:p>
    <w:p w14:paraId="5571D500"/>
    <w:p w14:paraId="0A72E8A0">
      <w:pPr>
        <w:rPr>
          <w:rFonts w:hint="default" w:ascii="Times New Roman" w:hAnsi="Times New Roman" w:cs="Times New Roman"/>
          <w:sz w:val="24"/>
          <w:szCs w:val="24"/>
        </w:rPr>
      </w:pPr>
      <w:r>
        <w:rPr>
          <w:rFonts w:hint="default" w:ascii="Times New Roman" w:hAnsi="Times New Roman" w:cs="Times New Roman"/>
          <w:b/>
          <w:bCs/>
          <w:sz w:val="24"/>
          <w:szCs w:val="24"/>
        </w:rPr>
        <w:t>Initial Capital:</w:t>
      </w:r>
      <w:r>
        <w:rPr>
          <w:rFonts w:hint="default" w:ascii="Times New Roman" w:hAnsi="Times New Roman" w:cs="Times New Roman"/>
          <w:sz w:val="24"/>
          <w:szCs w:val="24"/>
        </w:rPr>
        <w:t xml:space="preserve"> ₹10,00,000</w:t>
      </w:r>
    </w:p>
    <w:p w14:paraId="4F7F8BF6">
      <w:pPr>
        <w:rPr>
          <w:rFonts w:hint="default" w:ascii="Times New Roman" w:hAnsi="Times New Roman" w:cs="Times New Roman"/>
          <w:sz w:val="24"/>
          <w:szCs w:val="24"/>
        </w:rPr>
      </w:pPr>
      <w:r>
        <w:rPr>
          <w:rFonts w:hint="default" w:ascii="Times New Roman" w:hAnsi="Times New Roman" w:cs="Times New Roman"/>
          <w:b/>
          <w:bCs/>
          <w:sz w:val="24"/>
          <w:szCs w:val="24"/>
        </w:rPr>
        <w:t xml:space="preserve">Final Portfolio Value: </w:t>
      </w:r>
      <w:r>
        <w:rPr>
          <w:rFonts w:hint="default" w:ascii="Times New Roman" w:hAnsi="Times New Roman" w:cs="Times New Roman"/>
          <w:sz w:val="24"/>
          <w:szCs w:val="24"/>
        </w:rPr>
        <w:t>₹9,96,403.99</w:t>
      </w:r>
    </w:p>
    <w:p w14:paraId="56CA0356">
      <w:pPr>
        <w:rPr>
          <w:rFonts w:hint="default" w:ascii="Times New Roman" w:hAnsi="Times New Roman" w:cs="Times New Roman"/>
          <w:sz w:val="24"/>
          <w:szCs w:val="24"/>
        </w:rPr>
      </w:pPr>
      <w:r>
        <w:rPr>
          <w:rFonts w:hint="default" w:ascii="Times New Roman" w:hAnsi="Times New Roman" w:cs="Times New Roman"/>
          <w:b/>
          <w:bCs/>
          <w:sz w:val="24"/>
          <w:szCs w:val="24"/>
        </w:rPr>
        <w:t>Net Return:</w:t>
      </w:r>
      <w:r>
        <w:rPr>
          <w:rFonts w:hint="default" w:ascii="Times New Roman" w:hAnsi="Times New Roman" w:cs="Times New Roman"/>
          <w:sz w:val="24"/>
          <w:szCs w:val="24"/>
        </w:rPr>
        <w:t xml:space="preserve"> -₹2,044.53 (-0.20%)</w:t>
      </w:r>
    </w:p>
    <w:p w14:paraId="3C164D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Interpretation</w:t>
      </w:r>
    </w:p>
    <w:p w14:paraId="797F68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TCS and MARUTI generated significant negative returns during the trading window, positive contributions from HDFCBANK and RELIANCE helped reduce the portfolio drawdown.</w:t>
      </w:r>
    </w:p>
    <w:p w14:paraId="3EDECE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remained relatively stable despite volatile market conditions.</w:t>
      </w:r>
    </w:p>
    <w:p w14:paraId="57B0207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Key Insight</w:t>
      </w:r>
    </w:p>
    <w:p w14:paraId="6A22B8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diversification and volatility-aware allocation strategy successfully limited downside risk.</w:t>
      </w:r>
    </w:p>
    <w:p w14:paraId="427DF28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3AD7DC4">
      <w:pPr>
        <w:rPr>
          <w:rFonts w:hint="default" w:ascii="Times New Roman" w:hAnsi="Times New Roman" w:cs="Times New Roman"/>
        </w:rPr>
      </w:pPr>
      <w:r>
        <w:rPr>
          <w:rFonts w:hint="default" w:ascii="Times New Roman" w:hAnsi="Times New Roman" w:cs="Times New Roman"/>
        </w:rPr>
        <w:br w:type="page"/>
      </w:r>
    </w:p>
    <w:p w14:paraId="75E4A86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11. Reflection and Conclusion</w:t>
      </w:r>
    </w:p>
    <w:p w14:paraId="3FE8E5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demonstrated how statistical forecasting techniques can be integrated with portfolio construction and real-time market execution.</w:t>
      </w:r>
    </w:p>
    <w:p w14:paraId="39B149A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ARIMA model provided useful short-term forecasting capability, particularly for stable stocks with stronger historical structure. However, sudden market fluctuations and external factors reduced prediction accuracy for highly volatile stocks such as TCS and MARUTI.</w:t>
      </w:r>
    </w:p>
    <w:p w14:paraId="62CCB9F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important conclusions were observed:</w:t>
      </w:r>
    </w:p>
    <w:p w14:paraId="2522CC1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diversification significantly improved portfolio stability</w:t>
      </w:r>
    </w:p>
    <w:p w14:paraId="5B7ADF6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volatility-aware allocation reduced major losses</w:t>
      </w:r>
    </w:p>
    <w:p w14:paraId="534FAE7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forecasting models alone are insufficient without risk management</w:t>
      </w:r>
    </w:p>
    <w:p w14:paraId="1DF30BB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real market behavior contains randomness beyond historical trends</w:t>
      </w:r>
    </w:p>
    <w:p w14:paraId="5487D30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a small overall portfolio decline of 0.20%, the portfolio remained relatively resilient under live market conditions.</w:t>
      </w:r>
    </w:p>
    <w:p w14:paraId="53CE5D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Improvements</w:t>
      </w:r>
    </w:p>
    <w:p w14:paraId="0815F7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improvements could further enhance forecasting accuracy:</w:t>
      </w:r>
    </w:p>
    <w:p w14:paraId="0E06BD1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integrating LSTM or transformer-based models</w:t>
      </w:r>
    </w:p>
    <w:p w14:paraId="03E105C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incorporating technical indicators</w:t>
      </w:r>
    </w:p>
    <w:p w14:paraId="5ECB15F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including macroeconomic variables and news sentiment</w:t>
      </w:r>
    </w:p>
    <w:p w14:paraId="14CB29D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using ensemble forecasting techniques</w:t>
      </w:r>
    </w:p>
    <w:p w14:paraId="285A15D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dynamic portfolio rebalancing</w:t>
      </w:r>
    </w:p>
    <w:p w14:paraId="493ED6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project successfully achieved its objective of applying time series analysis techniques to data-driven portfolio construction and live virtual trading.</w:t>
      </w:r>
    </w:p>
    <w:p w14:paraId="26DD4AE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1068F6E">
      <w:pPr>
        <w:rPr>
          <w:rFonts w:hint="default" w:ascii="Times New Roman" w:hAnsi="Times New Roman" w:cs="Times New Roman"/>
        </w:rPr>
      </w:pPr>
      <w:r>
        <w:rPr>
          <w:rFonts w:hint="default" w:ascii="Times New Roman" w:hAnsi="Times New Roman" w:cs="Times New Roman"/>
        </w:rPr>
        <w:br w:type="page"/>
      </w:r>
    </w:p>
    <w:p w14:paraId="24CBC0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12. Technologies and Libraries Used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2"/>
        <w:gridCol w:w="2855"/>
      </w:tblGrid>
      <w:tr w14:paraId="5879B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8" w:hRule="atLeast"/>
          <w:tblHeader/>
          <w:tblCellSpacing w:w="15" w:type="dxa"/>
        </w:trPr>
        <w:tc>
          <w:tcPr>
            <w:tcW w:w="0" w:type="auto"/>
            <w:shd w:val="clear" w:color="auto" w:fill="auto"/>
            <w:vAlign w:val="center"/>
          </w:tcPr>
          <w:p w14:paraId="72C0EF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Tool/Library</w:t>
            </w:r>
          </w:p>
        </w:tc>
        <w:tc>
          <w:tcPr>
            <w:tcW w:w="0" w:type="auto"/>
            <w:shd w:val="clear" w:color="auto" w:fill="auto"/>
            <w:vAlign w:val="center"/>
          </w:tcPr>
          <w:p w14:paraId="3B19D05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0F057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0D436E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color="auto" w:fill="auto"/>
            <w:vAlign w:val="center"/>
          </w:tcPr>
          <w:p w14:paraId="16752B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Core Programming</w:t>
            </w:r>
          </w:p>
        </w:tc>
      </w:tr>
      <w:tr w14:paraId="29ACF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273D7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yfinance</w:t>
            </w:r>
          </w:p>
        </w:tc>
        <w:tc>
          <w:tcPr>
            <w:tcW w:w="0" w:type="auto"/>
            <w:shd w:val="clear" w:color="auto" w:fill="auto"/>
            <w:vAlign w:val="center"/>
          </w:tcPr>
          <w:p w14:paraId="2A4A28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Collection</w:t>
            </w:r>
          </w:p>
        </w:tc>
      </w:tr>
      <w:tr w14:paraId="69F9B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51A85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w:t>
            </w:r>
          </w:p>
        </w:tc>
        <w:tc>
          <w:tcPr>
            <w:tcW w:w="0" w:type="auto"/>
            <w:shd w:val="clear" w:color="auto" w:fill="auto"/>
            <w:vAlign w:val="center"/>
          </w:tcPr>
          <w:p w14:paraId="1BD0F1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Processing</w:t>
            </w:r>
          </w:p>
        </w:tc>
      </w:tr>
      <w:tr w14:paraId="5C802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547200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numpy</w:t>
            </w:r>
          </w:p>
        </w:tc>
        <w:tc>
          <w:tcPr>
            <w:tcW w:w="0" w:type="auto"/>
            <w:shd w:val="clear" w:color="auto" w:fill="auto"/>
            <w:vAlign w:val="center"/>
          </w:tcPr>
          <w:p w14:paraId="1CE5F8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Numerical Computation</w:t>
            </w:r>
          </w:p>
        </w:tc>
      </w:tr>
      <w:tr w14:paraId="5B32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02E5B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w:t>
            </w:r>
          </w:p>
        </w:tc>
        <w:tc>
          <w:tcPr>
            <w:tcW w:w="0" w:type="auto"/>
            <w:shd w:val="clear" w:color="auto" w:fill="auto"/>
            <w:vAlign w:val="center"/>
          </w:tcPr>
          <w:p w14:paraId="01E848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Visualization</w:t>
            </w:r>
          </w:p>
        </w:tc>
      </w:tr>
      <w:tr w14:paraId="29984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7FF694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seaborn</w:t>
            </w:r>
          </w:p>
        </w:tc>
        <w:tc>
          <w:tcPr>
            <w:tcW w:w="0" w:type="auto"/>
            <w:shd w:val="clear" w:color="auto" w:fill="auto"/>
            <w:vAlign w:val="center"/>
          </w:tcPr>
          <w:p w14:paraId="513E22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Heatmaps and Graphs</w:t>
            </w:r>
          </w:p>
        </w:tc>
      </w:tr>
      <w:tr w14:paraId="25770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12FED8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statsmodels</w:t>
            </w:r>
          </w:p>
        </w:tc>
        <w:tc>
          <w:tcPr>
            <w:tcW w:w="0" w:type="auto"/>
            <w:shd w:val="clear" w:color="auto" w:fill="auto"/>
            <w:vAlign w:val="center"/>
          </w:tcPr>
          <w:p w14:paraId="52A33C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ARIMA and Statistical Tests</w:t>
            </w:r>
          </w:p>
        </w:tc>
      </w:tr>
      <w:tr w14:paraId="23CAB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443207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pmdarima</w:t>
            </w:r>
          </w:p>
        </w:tc>
        <w:tc>
          <w:tcPr>
            <w:tcW w:w="0" w:type="auto"/>
            <w:shd w:val="clear" w:color="auto" w:fill="auto"/>
            <w:vAlign w:val="center"/>
          </w:tcPr>
          <w:p w14:paraId="7ACDE9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 ARIMA Tuning</w:t>
            </w:r>
          </w:p>
        </w:tc>
      </w:tr>
      <w:tr w14:paraId="56F6A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8" w:hRule="atLeast"/>
          <w:tblCellSpacing w:w="15" w:type="dxa"/>
        </w:trPr>
        <w:tc>
          <w:tcPr>
            <w:tcW w:w="0" w:type="auto"/>
            <w:shd w:val="clear" w:color="auto" w:fill="auto"/>
            <w:vAlign w:val="center"/>
          </w:tcPr>
          <w:p w14:paraId="4AA48D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Streamlit</w:t>
            </w:r>
          </w:p>
        </w:tc>
        <w:tc>
          <w:tcPr>
            <w:tcW w:w="0" w:type="auto"/>
            <w:shd w:val="clear" w:color="auto" w:fill="auto"/>
            <w:vAlign w:val="center"/>
          </w:tcPr>
          <w:p w14:paraId="1BF8AE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Development</w:t>
            </w:r>
          </w:p>
        </w:tc>
      </w:tr>
      <w:tr w14:paraId="1CD83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8" w:hRule="atLeast"/>
          <w:tblCellSpacing w:w="15" w:type="dxa"/>
        </w:trPr>
        <w:tc>
          <w:tcPr>
            <w:tcW w:w="0" w:type="auto"/>
            <w:shd w:val="clear" w:color="auto" w:fill="auto"/>
            <w:vAlign w:val="center"/>
          </w:tcPr>
          <w:p w14:paraId="74EA87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StockGro</w:t>
            </w:r>
          </w:p>
        </w:tc>
        <w:tc>
          <w:tcPr>
            <w:tcW w:w="0" w:type="auto"/>
            <w:shd w:val="clear" w:color="auto" w:fill="auto"/>
            <w:vAlign w:val="center"/>
          </w:tcPr>
          <w:p w14:paraId="222550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Virtual Trading Platform</w:t>
            </w:r>
          </w:p>
        </w:tc>
      </w:tr>
    </w:tbl>
    <w:p w14:paraId="5D4DE63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ED18278">
      <w:pPr>
        <w:rPr>
          <w:rFonts w:hint="default" w:ascii="Times New Roman" w:hAnsi="Times New Roman" w:cs="Times New Roman"/>
          <w:b/>
          <w:bCs/>
          <w:sz w:val="44"/>
          <w:szCs w:val="44"/>
        </w:rPr>
      </w:pPr>
    </w:p>
    <w:p w14:paraId="78223A01">
      <w:pPr>
        <w:rPr>
          <w:rFonts w:hint="default" w:ascii="Times New Roman" w:hAnsi="Times New Roman" w:cs="Times New Roman"/>
          <w:b/>
          <w:bCs/>
          <w:sz w:val="44"/>
          <w:szCs w:val="44"/>
        </w:rPr>
      </w:pPr>
      <w:r>
        <w:rPr>
          <w:rFonts w:hint="default" w:ascii="Times New Roman" w:hAnsi="Times New Roman" w:cs="Times New Roman"/>
          <w:b/>
          <w:bCs/>
          <w:sz w:val="44"/>
          <w:szCs w:val="44"/>
        </w:rPr>
        <w:t>13. Appendix</w:t>
      </w:r>
    </w:p>
    <w:p w14:paraId="605C84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Included Deliverables</w:t>
      </w:r>
    </w:p>
    <w:p w14:paraId="63E1EB1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Jupyter Notebook</w:t>
      </w:r>
    </w:p>
    <w:p w14:paraId="060A6FF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Portfolio Allocation Tables</w:t>
      </w:r>
    </w:p>
    <w:p w14:paraId="1E87391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Forecast Graphs</w:t>
      </w:r>
    </w:p>
    <w:p w14:paraId="7FB2BBD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Correlation Heatmap</w:t>
      </w:r>
    </w:p>
    <w:p w14:paraId="38423DF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STL Decomposition Plots</w:t>
      </w:r>
    </w:p>
    <w:p w14:paraId="7BC6501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StockGro Screenshots</w:t>
      </w:r>
    </w:p>
    <w:p w14:paraId="421D870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Streamlit Dashboard</w:t>
      </w:r>
    </w:p>
    <w:p w14:paraId="2DED104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3C98EC0">
      <w:pPr>
        <w:rPr>
          <w:rFonts w:hint="default" w:ascii="Times New Roman" w:hAnsi="Times New Roman" w:cs="Times New Roman"/>
        </w:rPr>
      </w:pPr>
      <w:r>
        <w:rPr>
          <w:rFonts w:hint="default" w:ascii="Times New Roman" w:hAnsi="Times New Roman" w:cs="Times New Roman"/>
        </w:rPr>
        <w:br w:type="page"/>
      </w:r>
    </w:p>
    <w:p w14:paraId="43788B5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D5CB89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CADC1C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GitHub Repository:</w:t>
      </w:r>
    </w:p>
    <w:p w14:paraId="015C57A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https://github.com/</w:t>
      </w:r>
      <w:r>
        <w:rPr>
          <w:rFonts w:hint="default" w:ascii="Times New Roman" w:hAnsi="Times New Roman" w:cs="Times New Roman"/>
          <w:b w:val="0"/>
          <w:bCs w:val="0"/>
          <w:sz w:val="32"/>
          <w:szCs w:val="32"/>
          <w:lang w:val="en-US"/>
        </w:rPr>
        <w:t>DRACARIUS777</w:t>
      </w:r>
      <w:bookmarkStart w:id="0" w:name="_GoBack"/>
      <w:bookmarkEnd w:id="0"/>
      <w:r>
        <w:rPr>
          <w:rFonts w:hint="default" w:ascii="Times New Roman" w:hAnsi="Times New Roman" w:cs="Times New Roman"/>
          <w:b w:val="0"/>
          <w:bCs w:val="0"/>
          <w:sz w:val="32"/>
          <w:szCs w:val="32"/>
        </w:rPr>
        <w:t>/tsa-2026-capstone</w:t>
      </w:r>
    </w:p>
    <w:p w14:paraId="2666FB1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Live Dashboard:</w:t>
      </w:r>
    </w:p>
    <w:p w14:paraId="0090E9F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rPr>
      </w:pPr>
      <w:r>
        <w:rPr>
          <w:rFonts w:hint="default" w:ascii="Times New Roman" w:hAnsi="Times New Roman" w:cs="Times New Roman"/>
          <w:b w:val="0"/>
          <w:bCs w:val="0"/>
          <w:sz w:val="32"/>
          <w:szCs w:val="32"/>
        </w:rPr>
        <w:t>https://yourapp.streamlit.app</w:t>
      </w:r>
    </w:p>
    <w:p w14:paraId="5C97425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6D786AF">
      <w:pPr>
        <w:pStyle w:val="2"/>
        <w:keepNext w:val="0"/>
        <w:keepLines w:val="0"/>
        <w:widowControl/>
        <w:suppressLineNumbers w:val="0"/>
        <w:rPr>
          <w:rFonts w:hint="default" w:ascii="Times New Roman" w:hAnsi="Times New Roman" w:cs="Times New Roman"/>
        </w:rPr>
      </w:pPr>
    </w:p>
    <w:p w14:paraId="473B6A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End of Report</w:t>
      </w:r>
    </w:p>
    <w:p w14:paraId="5C9E8AD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19B34"/>
    <w:multiLevelType w:val="multilevel"/>
    <w:tmpl w:val="AE119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C2DE9F3"/>
    <w:multiLevelType w:val="multilevel"/>
    <w:tmpl w:val="BC2DE9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F17FA2"/>
    <w:multiLevelType w:val="multilevel"/>
    <w:tmpl w:val="CBF17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635B20"/>
    <w:multiLevelType w:val="multilevel"/>
    <w:tmpl w:val="E6635B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7F53E40"/>
    <w:multiLevelType w:val="multilevel"/>
    <w:tmpl w:val="E7F53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741975E"/>
    <w:multiLevelType w:val="multilevel"/>
    <w:tmpl w:val="17419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626D3DA"/>
    <w:multiLevelType w:val="multilevel"/>
    <w:tmpl w:val="2626D3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228E8F6"/>
    <w:multiLevelType w:val="multilevel"/>
    <w:tmpl w:val="3228E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7940941"/>
    <w:multiLevelType w:val="multilevel"/>
    <w:tmpl w:val="379409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DE24005"/>
    <w:multiLevelType w:val="multilevel"/>
    <w:tmpl w:val="5DE24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FBECBF"/>
    <w:multiLevelType w:val="multilevel"/>
    <w:tmpl w:val="62FBEC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2B7A754"/>
    <w:multiLevelType w:val="multilevel"/>
    <w:tmpl w:val="72B7A7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C859418"/>
    <w:multiLevelType w:val="multilevel"/>
    <w:tmpl w:val="7C859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
  </w:num>
  <w:num w:numId="3">
    <w:abstractNumId w:val="2"/>
  </w:num>
  <w:num w:numId="4">
    <w:abstractNumId w:val="11"/>
  </w:num>
  <w:num w:numId="5">
    <w:abstractNumId w:val="4"/>
  </w:num>
  <w:num w:numId="6">
    <w:abstractNumId w:val="12"/>
  </w:num>
  <w:num w:numId="7">
    <w:abstractNumId w:val="0"/>
  </w:num>
  <w:num w:numId="8">
    <w:abstractNumId w:val="7"/>
  </w:num>
  <w:num w:numId="9">
    <w:abstractNumId w:val="5"/>
  </w:num>
  <w:num w:numId="10">
    <w:abstractNumId w:val="3"/>
  </w:num>
  <w:num w:numId="11">
    <w:abstractNumId w:val="6"/>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368E2"/>
    <w:rsid w:val="200368E2"/>
    <w:rsid w:val="2DF1231A"/>
    <w:rsid w:val="740E3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1233</Words>
  <Characters>8475</Characters>
  <Lines>0</Lines>
  <Paragraphs>0</Paragraphs>
  <TotalTime>2</TotalTime>
  <ScaleCrop>false</ScaleCrop>
  <LinksUpToDate>false</LinksUpToDate>
  <CharactersWithSpaces>9474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2026-05-17T06:31:00Z</dcterms:created>
  <dc:creator>KIIT</dc:creator>
  <cp:lastModifiedBy>Samprit Banerjee</cp:lastModifiedBy>
  <dcterms:modified xsi:type="dcterms:W3CDTF">2026-05-17T08:14:53Z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4D4E39D8A5664C71A35C350FB4EED401_11</vt:lpwstr>
  </property>
  <property fmtid="{D5CDD505-2E9C-101B-9397-08002B2CF9AE}" pid="4" name="KSOTemplateDocerSaveRecord">
    <vt:lpwstr>eyJoZGlkIjoiYmY0NzMwMzA5NDk4ZjY1YzU3NzFiZmM0MjNmMGQyMjgiLCJ1c2VySWQiOiI1Njc1MTA4MTYxNjkifQ==</vt:lpwstr>
  </property>
</Properties>
</file>