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pBdr>
          <w:bottom w:val="single" w:color="1F3864" w:sz="8" w:space="2"/>
        </w:pBdr>
        <w:spacing w:after="200"/>
        <w:jc w:val="center"/>
      </w:pPr>
      <w:r>
        <w:rPr>
          <w:rFonts w:ascii="Arial" w:cs="Arial" w:eastAsia="Arial" w:hAnsi="Arial"/>
          <w:b/>
          <w:bCs/>
          <w:color w:val="1F3864"/>
          <w:sz w:val="52"/>
          <w:szCs w:val="52"/>
        </w:rPr>
        <w:t xml:space="preserve">NOTSO INTELLIGENCE CORPUS</w:t>
      </w:r>
    </w:p>
    <w:p>
      <w:pPr>
        <w:spacing w:after="100"/>
        <w:jc w:val="center"/>
      </w:pPr>
      <w:r>
        <w:rPr>
          <w:rFonts w:ascii="Arial" w:cs="Arial" w:eastAsia="Arial" w:hAnsi="Arial"/>
          <w:b/>
          <w:bCs/>
          <w:color w:val="2E75B6"/>
          <w:sz w:val="36"/>
          <w:szCs w:val="36"/>
        </w:rPr>
        <w:t xml:space="preserve">FULL BATCH FORENSIC ANALYSIS</w:t>
      </w:r>
    </w:p>
    <w:p>
      <w:pPr>
        <w:spacing w:after="200"/>
        <w:jc w:val="center"/>
      </w:pPr>
      <w:r>
        <w:rPr>
          <w:rFonts w:ascii="Arial" w:cs="Arial" w:eastAsia="Arial" w:hAnsi="Arial"/>
          <w:color w:val="444444"/>
          <w:sz w:val="24"/>
          <w:szCs w:val="24"/>
        </w:rPr>
        <w:t xml:space="preserve">April 2022 – March 2026  |  3,124 Records  |  JCO via UDL</w:t>
      </w:r>
    </w:p>
    <w:p>
      <w:pPr>
        <w:spacing w:after="120"/>
      </w:pPr>
    </w:p>
    <w:p>
      <w:pPr>
        <w:jc w:val="center"/>
      </w:pPr>
      <w:r>
        <w:rPr>
          <w:rFonts w:ascii="Arial" w:cs="Arial" w:eastAsia="Arial" w:hAnsi="Arial"/>
          <w:b/>
          <w:bCs/>
          <w:color w:val="880000"/>
          <w:sz w:val="22"/>
          <w:szCs w:val="22"/>
        </w:rPr>
        <w:t xml:space="preserve">UNCLASSIFIED // DS-JCO-NOTIF</w:t>
      </w:r>
    </w:p>
    <w:p>
      <w:pPr>
        <w:jc w:val="center"/>
      </w:pPr>
      <w:r>
        <w:rPr>
          <w:rFonts w:ascii="Arial" w:cs="Arial" w:eastAsia="Arial" w:hAnsi="Arial"/>
          <w:color w:val="666666"/>
          <w:sz w:val="20"/>
          <w:szCs w:val="20"/>
        </w:rPr>
        <w:t xml:space="preserve">Analysis Date: 31 March 2026</w:t>
      </w:r>
    </w:p>
    <w:p>
      <w:pPr>
        <w:jc w:val="center"/>
      </w:pPr>
      <w:r>
        <w:rPr>
          <w:rFonts w:ascii="Arial" w:cs="Arial" w:eastAsia="Arial" w:hAnsi="Arial"/>
          <w:color w:val="666666"/>
          <w:sz w:val="20"/>
          <w:szCs w:val="20"/>
        </w:rPr>
        <w:t xml:space="preserve">Produced by: NOTSO Intelligence Fusion Analyst</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32"/>
                <w:szCs w:val="32"/>
              </w:rPr>
              <w:t xml:space="preserve">3,124</w:t>
            </w:r>
          </w:p>
        </w:tc>
        <w:tc>
          <w:tcPr>
            <w:tcW w:type="dxa" w:w="1872"/>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color w:val="FFFFFF"/>
                <w:sz w:val="32"/>
                <w:szCs w:val="32"/>
              </w:rPr>
              <w:t xml:space="preserve">275</w:t>
            </w:r>
          </w:p>
        </w:tc>
        <w:tc>
          <w:tcPr>
            <w:tcW w:type="dxa" w:w="1872"/>
            <w:tcBorders>
              <w:top w:val="single" w:color="CCCCCC" w:sz="1"/>
              <w:left w:val="single" w:color="CCCCCC" w:sz="1"/>
              <w:bottom w:val="single" w:color="CCCCCC" w:sz="1"/>
              <w:right w:val="single" w:color="CCCCCC" w:sz="1"/>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32"/>
                <w:szCs w:val="32"/>
              </w:rPr>
              <w:t xml:space="preserve">26</w:t>
            </w:r>
          </w:p>
        </w:tc>
        <w:tc>
          <w:tcPr>
            <w:tcW w:type="dxa" w:w="1872"/>
            <w:tcBorders>
              <w:top w:val="single" w:color="CCCCCC" w:sz="1"/>
              <w:left w:val="single" w:color="CCCCCC" w:sz="1"/>
              <w:bottom w:val="single" w:color="CCCCCC" w:sz="1"/>
              <w:right w:val="single" w:color="CCCCCC" w:sz="1"/>
            </w:tcBorders>
            <w:shd w:fill="880000" w:val="clear"/>
            <w:tcMar>
              <w:top w:type="dxa" w:w="60"/>
              <w:left w:type="dxa" w:w="100"/>
              <w:bottom w:type="dxa" w:w="60"/>
              <w:right w:type="dxa" w:w="100"/>
            </w:tcMar>
            <w:vAlign w:val="center"/>
          </w:tcPr>
          <w:p>
            <w:pPr>
              <w:jc w:val="center"/>
            </w:pPr>
            <w:r>
              <w:rPr>
                <w:rFonts w:ascii="Arial" w:cs="Arial" w:eastAsia="Arial" w:hAnsi="Arial"/>
                <w:b/>
                <w:bCs/>
                <w:color w:val="FFFFFF"/>
                <w:sz w:val="32"/>
                <w:szCs w:val="32"/>
              </w:rPr>
              <w:t xml:space="preserve">1,615</w:t>
            </w:r>
          </w:p>
        </w:tc>
        <w:tc>
          <w:tcPr>
            <w:tcW w:type="dxa" w:w="1872"/>
            <w:tcBorders>
              <w:top w:val="single" w:color="CCCCCC" w:sz="1"/>
              <w:left w:val="single" w:color="CCCCCC" w:sz="1"/>
              <w:bottom w:val="single" w:color="CCCCCC" w:sz="1"/>
              <w:right w:val="single" w:color="CCCCCC" w:sz="1"/>
            </w:tcBorders>
            <w:shd w:fill="1F497D" w:val="clear"/>
            <w:tcMar>
              <w:top w:type="dxa" w:w="60"/>
              <w:left w:type="dxa" w:w="100"/>
              <w:bottom w:type="dxa" w:w="60"/>
              <w:right w:type="dxa" w:w="100"/>
            </w:tcMar>
            <w:vAlign w:val="center"/>
          </w:tcPr>
          <w:p>
            <w:pPr>
              <w:jc w:val="center"/>
            </w:pPr>
            <w:r>
              <w:rPr>
                <w:rFonts w:ascii="Arial" w:cs="Arial" w:eastAsia="Arial" w:hAnsi="Arial"/>
                <w:b/>
                <w:bCs/>
                <w:color w:val="FFFFFF"/>
                <w:sz w:val="32"/>
                <w:szCs w:val="32"/>
              </w:rPr>
              <w:t xml:space="preserve">655</w:t>
            </w:r>
          </w:p>
        </w:tc>
      </w:tr>
      <w:tr>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rFonts w:ascii="Arial" w:cs="Arial" w:eastAsia="Arial" w:hAnsi="Arial"/>
                <w:b/>
                <w:bCs/>
                <w:color w:val="000000"/>
                <w:sz w:val="16"/>
                <w:szCs w:val="16"/>
              </w:rPr>
              <w:t xml:space="preserve">Total Records</w:t>
            </w:r>
          </w:p>
        </w:tc>
        <w:tc>
          <w:tcPr>
            <w:tcW w:type="dxa" w:w="187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bCs/>
                <w:color w:val="000000"/>
                <w:sz w:val="16"/>
                <w:szCs w:val="16"/>
              </w:rPr>
              <w:t xml:space="preserve">RPO Events</w:t>
            </w:r>
          </w:p>
        </w:tc>
        <w:tc>
          <w:tcPr>
            <w:tcW w:type="dxa" w:w="1872"/>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vAlign w:val="center"/>
          </w:tcPr>
          <w:p>
            <w:pPr>
              <w:jc w:val="center"/>
            </w:pPr>
            <w:r>
              <w:rPr>
                <w:rFonts w:ascii="Arial" w:cs="Arial" w:eastAsia="Arial" w:hAnsi="Arial"/>
                <w:b/>
                <w:bCs/>
                <w:color w:val="000000"/>
                <w:sz w:val="16"/>
                <w:szCs w:val="16"/>
              </w:rPr>
              <w:t xml:space="preserve">Breakup/Debris</w:t>
            </w:r>
          </w:p>
        </w:tc>
        <w:tc>
          <w:tcPr>
            <w:tcW w:type="dxa" w:w="1872"/>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bCs/>
                <w:color w:val="000000"/>
                <w:sz w:val="16"/>
                <w:szCs w:val="16"/>
              </w:rPr>
              <w:t xml:space="preserve">China Attribution</w:t>
            </w:r>
          </w:p>
        </w:tc>
        <w:tc>
          <w:tcPr>
            <w:tcW w:type="dxa" w:w="1872"/>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vAlign w:val="center"/>
          </w:tcPr>
          <w:p>
            <w:pPr>
              <w:jc w:val="center"/>
            </w:pPr>
            <w:r>
              <w:rPr>
                <w:rFonts w:ascii="Arial" w:cs="Arial" w:eastAsia="Arial" w:hAnsi="Arial"/>
                <w:b/>
                <w:bCs/>
                <w:color w:val="000000"/>
                <w:sz w:val="16"/>
                <w:szCs w:val="16"/>
              </w:rPr>
              <w:t xml:space="preserve">Russia Attribution</w:t>
            </w:r>
          </w:p>
        </w:tc>
      </w:tr>
    </w:tbl>
    <w:p>
      <w:r>
        <w:br w:type="page"/>
      </w:r>
    </w:p>
    <w:p>
      <w:pPr>
        <w:pStyle w:val="Heading1"/>
      </w:pPr>
      <w:r>
        <w:rPr>
          <w:rFonts w:ascii="Arial" w:cs="Arial" w:eastAsia="Arial" w:hAnsi="Arial"/>
          <w:b/>
          <w:bCs/>
          <w:color w:val="1F3864"/>
          <w:sz w:val="28"/>
          <w:szCs w:val="28"/>
        </w:rPr>
        <w:t xml:space="preserve">EXECUTIVE SNAPSHOT</w:t>
      </w:r>
    </w:p>
    <w:p>
      <w:pPr>
        <w:spacing w:after="120"/>
      </w:pPr>
      <w:r>
        <w:rPr>
          <w:rFonts w:ascii="Arial" w:cs="Arial" w:eastAsia="Arial" w:hAnsi="Arial"/>
          <w:color w:val="000000"/>
          <w:sz w:val="20"/>
          <w:szCs w:val="20"/>
        </w:rPr>
        <w:t xml:space="preserve">The following ten findings represent the highest-value signals extracted from the full corpus of 3,124 NOTSO records spanning April 2022 to March 2026. All items are derived from JCO-sourced TACREP_NOTSO records classified U//DS-JCO-NOTIF. Each bullet states what was observed, not what is interpreted — inference is explicit where made.</w:t>
      </w:r>
    </w:p>
    <w:p>
      <w:pPr>
        <w:spacing w:after="120"/>
      </w:pPr>
    </w:p>
    <w:p>
      <w:pPr>
        <w:pStyle w:val="ListParagraph"/>
        <w:numPr>
          <w:ilvl w:val="0"/>
          <w:numId w:val="2"/>
        </w:numPr>
        <w:spacing w:after="80"/>
      </w:pPr>
      <w:r>
        <w:rPr>
          <w:rFonts w:ascii="Arial" w:cs="Arial" w:eastAsia="Arial" w:hAnsi="Arial"/>
          <w:sz w:val="20"/>
          <w:szCs w:val="20"/>
        </w:rPr>
        <w:t xml:space="preserve">REPORTING VOLUME: 2.6x surge. Total records: 229 (2022) → 573 (2023) → 553 (2024) → 1,432 (2025). The 2025 spike is the single most significant structural trend in the corpus and is assessed (Confidence: High) to reflect genuine operational tempo increase, not expanded reporting scope.</w:t>
      </w:r>
    </w:p>
    <w:p>
      <w:pPr>
        <w:pStyle w:val="ListParagraph"/>
        <w:numPr>
          <w:ilvl w:val="0"/>
          <w:numId w:val="2"/>
        </w:numPr>
        <w:spacing w:after="80"/>
      </w:pPr>
      <w:r>
        <w:rPr>
          <w:rFonts w:ascii="Arial" w:cs="Arial" w:eastAsia="Arial" w:hAnsi="Arial"/>
          <w:sz w:val="20"/>
          <w:szCs w:val="20"/>
        </w:rPr>
        <w:t xml:space="preserve">RPO ESCALATION: Rendezvous and Proximity Operations records rose 11x from 2022 (14 records) to 2025 (158 records). No other theme shows comparable growth. Priority Index ceiling records (PI ≥ 60) are exclusively RPO events.</w:t>
      </w:r>
    </w:p>
    <w:p>
      <w:pPr>
        <w:pStyle w:val="ListParagraph"/>
        <w:numPr>
          <w:ilvl w:val="0"/>
          <w:numId w:val="2"/>
        </w:numPr>
        <w:spacing w:after="80"/>
      </w:pPr>
      <w:r>
        <w:rPr>
          <w:rFonts w:ascii="Arial" w:cs="Arial" w:eastAsia="Arial" w:hAnsi="Arial"/>
          <w:sz w:val="20"/>
          <w:szCs w:val="20"/>
        </w:rPr>
        <w:t xml:space="preserve">CHINESE GEO RPO — HIGHEST PRIORITY: SJ-25 (62485) vs SJ-21 (49330) is the single most active event chain in the corpus (58 combined records across two event class labels, avg PI 53). This represents a sustained Chinese GEO inspector/servicer operation with continuous monitoring over 32+ days.</w:t>
      </w:r>
    </w:p>
    <w:p>
      <w:pPr>
        <w:pStyle w:val="ListParagraph"/>
        <w:numPr>
          <w:ilvl w:val="0"/>
          <w:numId w:val="2"/>
        </w:numPr>
        <w:spacing w:after="80"/>
      </w:pPr>
      <w:r>
        <w:rPr>
          <w:rFonts w:ascii="Arial" w:cs="Arial" w:eastAsia="Arial" w:hAnsi="Arial"/>
          <w:sz w:val="20"/>
          <w:szCs w:val="20"/>
        </w:rPr>
        <w:t xml:space="preserve">RUSSIAN RPO CLUSTER: Four distinct Russian RPO chains: (1) Cosmos 2589 / Object C GEO (16 records, avg PI 52.8), (2) Cosmos 2581/2582 LEO pair (15 records, avg PI 50.9), (3) Cosmos 2571 vs Object D LEO (6 records, avg PI 52.4), (4) Luch Olymp 2 vs Intelsat 1002 GEO (9 records, avg PI 45.8). Russia is conducting simultaneous RPO campaigns across GEO and LEO.</w:t>
      </w:r>
    </w:p>
    <w:p>
      <w:pPr>
        <w:pStyle w:val="ListParagraph"/>
        <w:numPr>
          <w:ilvl w:val="0"/>
          <w:numId w:val="2"/>
        </w:numPr>
        <w:spacing w:after="80"/>
      </w:pPr>
      <w:r>
        <w:rPr>
          <w:rFonts w:ascii="Arial" w:cs="Arial" w:eastAsia="Arial" w:hAnsi="Arial"/>
          <w:sz w:val="20"/>
          <w:szCs w:val="20"/>
        </w:rPr>
        <w:t xml:space="preserve">CRITICAL RECENT EVENT — LUCH OLYMP POSSIBLE BREAKUP: Two records in January–February 2026 (N1486, N1493) report a possible breakup of Luch Olymp (40258) in xGEO/GEO. Luch Olymp has been one of the most-tracked Russian intelligence satellites in this corpus (27 records, Maneuver + RPO). A confirmed breakup would represent a significant debris-generating event in GEO.</w:t>
      </w:r>
    </w:p>
    <w:p>
      <w:pPr>
        <w:pStyle w:val="ListParagraph"/>
        <w:numPr>
          <w:ilvl w:val="0"/>
          <w:numId w:val="2"/>
        </w:numPr>
        <w:spacing w:after="80"/>
      </w:pPr>
      <w:r>
        <w:rPr>
          <w:rFonts w:ascii="Arial" w:cs="Arial" w:eastAsia="Arial" w:hAnsi="Arial"/>
          <w:sz w:val="20"/>
          <w:szCs w:val="20"/>
        </w:rPr>
        <w:t xml:space="preserve">INTELSAT 33E BREAKUP (OCT 2024): Highest-density single civilian event — 19 records across 10 days (19–29 Oct 2024, avg PI 56.3). GEO breakup confirmed. This is the only commercial satellite breakup confirmed in the corpus and is assessed as accidental (propulsion failure).</w:t>
      </w:r>
    </w:p>
    <w:p>
      <w:pPr>
        <w:pStyle w:val="ListParagraph"/>
        <w:numPr>
          <w:ilvl w:val="0"/>
          <w:numId w:val="2"/>
        </w:numPr>
        <w:spacing w:after="80"/>
      </w:pPr>
      <w:r>
        <w:rPr>
          <w:rFonts w:ascii="Arial" w:cs="Arial" w:eastAsia="Arial" w:hAnsi="Arial"/>
          <w:sz w:val="20"/>
          <w:szCs w:val="20"/>
        </w:rPr>
        <w:t xml:space="preserve">PHOTOMETRIC CHANGE CAMPAIGN — TJS SERIES: TJS-3 (43874) is the most-monitored single object for signature changes: 49+ records across 295+ days. The TJS-10 vs TJS-3 RPO event (12 records, Oct 2024) coincided with peak photometric change reporting for TJS-3, suggesting TJS-10 approached TJS-3 to conduct close inspection or operations.</w:t>
      </w:r>
    </w:p>
    <w:p>
      <w:pPr>
        <w:pStyle w:val="ListParagraph"/>
        <w:numPr>
          <w:ilvl w:val="0"/>
          <w:numId w:val="2"/>
        </w:numPr>
        <w:spacing w:after="80"/>
      </w:pPr>
      <w:r>
        <w:rPr>
          <w:rFonts w:ascii="Arial" w:cs="Arial" w:eastAsia="Arial" w:hAnsi="Arial"/>
          <w:sz w:val="20"/>
          <w:szCs w:val="20"/>
        </w:rPr>
        <w:t xml:space="preserve">DATA COLLECTION GAPS: Months 2024-02, 2024-03, 2024-04, and 2024-07 are entirely absent from the corpus. These gaps represent either collection interruptions or archiving issues and constitute analytic blind spots. Any events in these windows are undetected by this analysis.</w:t>
      </w:r>
    </w:p>
    <w:p>
      <w:pPr>
        <w:pStyle w:val="ListParagraph"/>
        <w:numPr>
          <w:ilvl w:val="0"/>
          <w:numId w:val="2"/>
        </w:numPr>
        <w:spacing w:after="80"/>
      </w:pPr>
      <w:r>
        <w:rPr>
          <w:rFonts w:ascii="Arial" w:cs="Arial" w:eastAsia="Arial" w:hAnsi="Arial"/>
          <w:sz w:val="20"/>
          <w:szCs w:val="20"/>
        </w:rPr>
        <w:t xml:space="preserve">CHINESE LAUNCH TEMPO ACCELERATION: Launch-category records accelerated sharply in H2 2025 — December 2025 alone shows 95 launch records, the highest single-month total in any category across the corpus. The LM-7A Shijian-29 launch (Dec 2025) and multiple Qianfan/G60 constellation launches drove this surge.</w:t>
      </w:r>
    </w:p>
    <w:p>
      <w:pPr>
        <w:pStyle w:val="ListParagraph"/>
        <w:numPr>
          <w:ilvl w:val="0"/>
          <w:numId w:val="2"/>
        </w:numPr>
        <w:spacing w:after="80"/>
      </w:pPr>
      <w:r>
        <w:rPr>
          <w:rFonts w:ascii="Arial" w:cs="Arial" w:eastAsia="Arial" w:hAnsi="Arial"/>
          <w:sz w:val="20"/>
          <w:szCs w:val="20"/>
        </w:rPr>
        <w:t xml:space="preserve">UNKNOWN ACTOR ACTIVITY: 696 records (22%) have no nation attribution. Several high-PI events involve unattributed objects ('Object C', 'Object D', 'Object G', 'Object F') involved in RPO chains with known Russian or Chinese satellites. These unknown objects warrant priority collection tasking.</w:t>
      </w:r>
    </w:p>
    <w:p>
      <w:r>
        <w:br w:type="page"/>
      </w:r>
    </w:p>
    <w:p>
      <w:pPr>
        <w:pStyle w:val="Heading1"/>
      </w:pPr>
      <w:r>
        <w:rPr>
          <w:rFonts w:ascii="Arial" w:cs="Arial" w:eastAsia="Arial" w:hAnsi="Arial"/>
          <w:b/>
          <w:bCs/>
          <w:color w:val="1F3864"/>
          <w:sz w:val="28"/>
          <w:szCs w:val="28"/>
        </w:rPr>
        <w:t xml:space="preserve">CORPUS OVERVIEW</w:t>
      </w:r>
    </w:p>
    <w:p>
      <w:pPr>
        <w:pStyle w:val="Heading2"/>
      </w:pPr>
      <w:r>
        <w:rPr>
          <w:rFonts w:ascii="Arial" w:cs="Arial" w:eastAsia="Arial" w:hAnsi="Arial"/>
          <w:b/>
          <w:bCs/>
          <w:color w:val="2E75B6"/>
          <w:sz w:val="24"/>
          <w:szCs w:val="24"/>
        </w:rPr>
        <w:t xml:space="preserve">Source &amp; Coverage</w:t>
      </w:r>
    </w:p>
    <w:p>
      <w:pPr>
        <w:spacing w:after="120"/>
      </w:pPr>
      <w:r>
        <w:rPr>
          <w:rFonts w:ascii="Arial" w:cs="Arial" w:eastAsia="Arial" w:hAnsi="Arial"/>
          <w:color w:val="000000"/>
          <w:sz w:val="20"/>
          <w:szCs w:val="20"/>
        </w:rPr>
        <w:t xml:space="preserve">This analysis processes all 3,124 TACREP_NOTSO records from the JCO (Joint Capabilities Office) sourced from the Unified Data Library (UDL). All records carry classification U//DS-JCO-NOTIF and data mode REAL on network OPS1. The corpus covers approximately 47 months from April 2022 to March 2026, providing a continuous multi-year view of space domain notable activity across GEO, LEO, HEO, Deep Space (DS), and Near-Earth (NE) regimes.</w:t>
      </w:r>
    </w:p>
    <w:p>
      <w:pPr>
        <w:pStyle w:val="Heading2"/>
      </w:pPr>
      <w:r>
        <w:rPr>
          <w:rFonts w:ascii="Arial" w:cs="Arial" w:eastAsia="Arial" w:hAnsi="Arial"/>
          <w:b/>
          <w:bCs/>
          <w:color w:val="2E75B6"/>
          <w:sz w:val="24"/>
          <w:szCs w:val="24"/>
        </w:rPr>
        <w:t xml:space="preserve">Corpus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Total Records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3,124</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Date Range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28 Apr 2022 – 27 Mar 2026</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Source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JCO via UDL (OPS1, Real Data)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Classification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U//DS-JCO-NOTIF</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Message 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TACREP_NOTSO (100%)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Update Chains (Event IDs with &gt;1 record)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709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Records with Delta-V Data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1,493 (47.8%)</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Records with Multi-Provider TLE Corroboration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~680 (estimated)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Unique Analysts (Company_Name field)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~45 identified</w:t>
            </w:r>
          </w:p>
        </w:tc>
      </w:tr>
    </w:tbl>
    <w:p>
      <w:pPr>
        <w:spacing w:after="120"/>
      </w:pPr>
    </w:p>
    <w:p>
      <w:pPr>
        <w:pStyle w:val="Heading2"/>
      </w:pPr>
      <w:r>
        <w:rPr>
          <w:rFonts w:ascii="Arial" w:cs="Arial" w:eastAsia="Arial" w:hAnsi="Arial"/>
          <w:b/>
          <w:bCs/>
          <w:color w:val="2E75B6"/>
          <w:sz w:val="24"/>
          <w:szCs w:val="24"/>
        </w:rPr>
        <w:t xml:space="preserve">Thematic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Theme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Records</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Total</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PI</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 Launch Event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876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31.2</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T8: Other Maneuver Activity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T4: Signature / Photometric Change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31.8</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 RPO / Proximity Operations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275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48.1</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undefined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T6: Possible Maneuver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43.2</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T5: Verified Maneuver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47.5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T9: Other / Unclassified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27.5</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 Breakup / Debris Event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46.9</w:t>
            </w:r>
          </w:p>
        </w:tc>
        <w:tc>
          <w:tcPr>
            <w:tcW w:type="dxa" w:w="12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undefined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T7: Conjunction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38.5</w:t>
            </w:r>
          </w:p>
        </w:tc>
      </w:tr>
    </w:tbl>
    <w:p>
      <w:pPr>
        <w:spacing w:after="120"/>
      </w:pPr>
    </w:p>
    <w:p>
      <w:pPr>
        <w:pStyle w:val="Heading2"/>
      </w:pPr>
      <w:r>
        <w:rPr>
          <w:rFonts w:ascii="Arial" w:cs="Arial" w:eastAsia="Arial" w:hAnsi="Arial"/>
          <w:b/>
          <w:bCs/>
          <w:color w:val="2E75B6"/>
          <w:sz w:val="24"/>
          <w:szCs w:val="24"/>
        </w:rPr>
        <w:t xml:space="preserve">Nation Attribution</w:t>
      </w:r>
    </w:p>
    <w:p>
      <w:pPr>
        <w:spacing w:after="120"/>
      </w:pPr>
      <w:r>
        <w:rPr>
          <w:rFonts w:ascii="Arial" w:cs="Arial" w:eastAsia="Arial" w:hAnsi="Arial"/>
          <w:color w:val="000000"/>
          <w:sz w:val="20"/>
          <w:szCs w:val="20"/>
        </w:rPr>
        <w:t xml:space="preserve">Nation attribution is derived from satellite name pattern matching against known Chinese, Russian, and US/Allied spacecraft. 22% of records could not be attributed due to unnamed or poorly documented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Nation</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Records</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Total</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China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51.7%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Dominant — 11x Russia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Russia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Significant RPO activity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Unknown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696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Priority collection gap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Russia + US/Allied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Cross-domain Luch events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US/Allied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Primarily Intelsat breakup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China + US/Allied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Mixed proximity events</w:t>
            </w:r>
          </w:p>
        </w:tc>
      </w:tr>
    </w:tbl>
    <w:p>
      <w:r>
        <w:br w:type="page"/>
      </w:r>
    </w:p>
    <w:p>
      <w:pPr>
        <w:pStyle w:val="Heading1"/>
      </w:pPr>
      <w:r>
        <w:rPr>
          <w:rFonts w:ascii="Arial" w:cs="Arial" w:eastAsia="Arial" w:hAnsi="Arial"/>
          <w:b/>
          <w:bCs/>
          <w:color w:val="1F3864"/>
          <w:sz w:val="28"/>
          <w:szCs w:val="28"/>
        </w:rPr>
        <w:t xml:space="preserve">THEMATIC CLUSTER ANALYSIS</w:t>
      </w:r>
    </w:p>
    <w:p>
      <w:pPr>
        <w:pStyle w:val="Heading2"/>
      </w:pPr>
      <w:r>
        <w:rPr>
          <w:rFonts w:ascii="Arial" w:cs="Arial" w:eastAsia="Arial" w:hAnsi="Arial"/>
          <w:b/>
          <w:bCs/>
          <w:color w:val="2E75B6"/>
          <w:sz w:val="24"/>
          <w:szCs w:val="24"/>
        </w:rPr>
        <w:t xml:space="preserve">T1: RPO / Proximity Operations</w:t>
      </w:r>
    </w:p>
    <w:p>
      <w:pPr>
        <w:spacing w:after="120"/>
      </w:pPr>
      <w:r>
        <w:rPr>
          <w:rFonts w:ascii="Arial" w:cs="Arial" w:eastAsia="Arial" w:hAnsi="Arial"/>
          <w:b/>
          <w:bCs/>
          <w:color w:val="000000"/>
          <w:sz w:val="20"/>
          <w:szCs w:val="20"/>
        </w:rPr>
        <w:t xml:space="preserve">275 records | Highest avg Priority Index (48.1) | Predominantly China (52%) and Russia (38%)</w:t>
      </w:r>
    </w:p>
    <w:p>
      <w:pPr>
        <w:spacing w:after="120"/>
      </w:pPr>
      <w:r>
        <w:rPr>
          <w:rFonts w:ascii="Arial" w:cs="Arial" w:eastAsia="Arial" w:hAnsi="Arial"/>
          <w:color w:val="000000"/>
          <w:sz w:val="20"/>
          <w:szCs w:val="20"/>
        </w:rPr>
        <w:t xml:space="preserve">This is the operationally highest-priority cluster in the corpus. RPO activity represents deliberate, controlled proximity operations where one space object manoeuvres to close approach with another — behaviour with direct counterspace implications. The cluster contains the eight highest-PI records in the entire corpus.</w:t>
      </w:r>
    </w:p>
    <w:p>
      <w:pPr>
        <w:spacing w:after="120"/>
      </w:pPr>
      <w:r>
        <w:rPr>
          <w:rFonts w:ascii="Arial" w:cs="Arial" w:eastAsia="Arial" w:hAnsi="Arial"/>
          <w:color w:val="000000"/>
          <w:sz w:val="20"/>
          <w:szCs w:val="20"/>
        </w:rPr>
        <w:t xml:space="preserve">Key sub-clusters within T1:</w:t>
      </w:r>
    </w:p>
    <w:p>
      <w:pPr>
        <w:pStyle w:val="ListParagraph"/>
        <w:numPr>
          <w:ilvl w:val="0"/>
          <w:numId w:val="2"/>
        </w:numPr>
        <w:spacing w:after="80"/>
      </w:pPr>
      <w:r>
        <w:rPr>
          <w:rFonts w:ascii="Arial" w:cs="Arial" w:eastAsia="Arial" w:hAnsi="Arial"/>
          <w:sz w:val="20"/>
          <w:szCs w:val="20"/>
        </w:rPr>
        <w:t xml:space="preserve">SJ-25 vs SJ-21 (GEO): 58 combined records (two event class labels). SJ-25 (COSPAR 62485), launched January 2024, conducted sustained proximity operations against SJ-21 (COSPAR 49330), a Chinese GEO debris removal testbed satellite launched 2021. The operation spanned 32+ days. Assessed as Chinese inspector/servicer demonstration. Confidence: High.</w:t>
      </w:r>
    </w:p>
    <w:p>
      <w:pPr>
        <w:pStyle w:val="ListParagraph"/>
        <w:numPr>
          <w:ilvl w:val="0"/>
          <w:numId w:val="2"/>
        </w:numPr>
        <w:spacing w:after="80"/>
      </w:pPr>
      <w:r>
        <w:rPr>
          <w:rFonts w:ascii="Arial" w:cs="Arial" w:eastAsia="Arial" w:hAnsi="Arial"/>
          <w:sz w:val="20"/>
          <w:szCs w:val="20"/>
        </w:rPr>
        <w:t xml:space="preserve">TJS-10 vs TJS-3 (GEO): 12 records, October 2024. TJS-10 approached TJS-3 — the most-monitored photometric change object in the corpus. The temporal coincidence of this RPO and peak TJS-3 photometric activity strongly suggests TJS-10 conducted close-range inspection or electromagnetic operations against TJS-3. Confidence: Medium.</w:t>
      </w:r>
    </w:p>
    <w:p>
      <w:pPr>
        <w:pStyle w:val="ListParagraph"/>
        <w:numPr>
          <w:ilvl w:val="0"/>
          <w:numId w:val="2"/>
        </w:numPr>
        <w:spacing w:after="80"/>
      </w:pPr>
      <w:r>
        <w:rPr>
          <w:rFonts w:ascii="Arial" w:cs="Arial" w:eastAsia="Arial" w:hAnsi="Arial"/>
          <w:sz w:val="20"/>
          <w:szCs w:val="20"/>
        </w:rPr>
        <w:t xml:space="preserve">Cosmos 2589 / Object C (GEO): 16 records. Russian Object C (COSPAR 64527) conducted RPO against Cosmos 2589 (COSPAR 64467) in GEO. Object C's status and mission remain unattributed — assessed as Russian inspection satellite. Confidence: Medium.</w:t>
      </w:r>
    </w:p>
    <w:p>
      <w:pPr>
        <w:pStyle w:val="ListParagraph"/>
        <w:numPr>
          <w:ilvl w:val="0"/>
          <w:numId w:val="2"/>
        </w:numPr>
        <w:spacing w:after="80"/>
      </w:pPr>
      <w:r>
        <w:rPr>
          <w:rFonts w:ascii="Arial" w:cs="Arial" w:eastAsia="Arial" w:hAnsi="Arial"/>
          <w:sz w:val="20"/>
          <w:szCs w:val="20"/>
        </w:rPr>
        <w:t xml:space="preserve">Cosmos 2581 vs Cosmos 2582 (LEO): 15 records. Russian LEO RPO pair in close proximity. Assessed as coordinated Russian inspector satellite demonstration. Confidence: High.</w:t>
      </w:r>
    </w:p>
    <w:p>
      <w:pPr>
        <w:pStyle w:val="ListParagraph"/>
        <w:numPr>
          <w:ilvl w:val="0"/>
          <w:numId w:val="2"/>
        </w:numPr>
        <w:spacing w:after="80"/>
      </w:pPr>
      <w:r>
        <w:rPr>
          <w:rFonts w:ascii="Arial" w:cs="Arial" w:eastAsia="Arial" w:hAnsi="Arial"/>
          <w:sz w:val="20"/>
          <w:szCs w:val="20"/>
        </w:rPr>
        <w:t xml:space="preserve">SJ-6-05 A,B (NE orbit): Highest individual PI records in corpus (PI 65-70). Chinese Near-Earth orbit pair conducting proximity operations. The NE regime is less routinely monitored, making these records particularly high-value.</w:t>
      </w:r>
    </w:p>
    <w:p>
      <w:pPr>
        <w:pStyle w:val="ListParagraph"/>
        <w:numPr>
          <w:ilvl w:val="0"/>
          <w:numId w:val="2"/>
        </w:numPr>
        <w:spacing w:after="80"/>
      </w:pPr>
      <w:r>
        <w:rPr>
          <w:rFonts w:ascii="Arial" w:cs="Arial" w:eastAsia="Arial" w:hAnsi="Arial"/>
          <w:sz w:val="20"/>
          <w:szCs w:val="20"/>
        </w:rPr>
        <w:t xml:space="preserve">Luch Olymp 2 vs Intelsat 1002 (GEO): 9 records. Russian intelligence satellite Luch Olymp 2 (55841) conducted proximity operations against commercial Intelsat satellite (28358). Assessed as intelligence collection. Confidence: High.</w:t>
      </w:r>
    </w:p>
    <w:p>
      <w:pPr>
        <w:pStyle w:val="ListParagraph"/>
        <w:numPr>
          <w:ilvl w:val="0"/>
          <w:numId w:val="2"/>
        </w:numPr>
        <w:spacing w:after="80"/>
      </w:pPr>
      <w:r>
        <w:rPr>
          <w:rFonts w:ascii="Arial" w:cs="Arial" w:eastAsia="Arial" w:hAnsi="Arial"/>
          <w:sz w:val="20"/>
          <w:szCs w:val="20"/>
        </w:rPr>
        <w:t xml:space="preserve">PRC Test Spacecraft 3 vs Object G (NE): 6 records, June 2024. Unattributed Chinese test spacecraft in proximity to an unknown object in near-Earth regime.</w:t>
      </w:r>
    </w:p>
    <w:p>
      <w:pPr>
        <w:spacing w:after="120"/>
      </w:pPr>
    </w:p>
    <w:p>
      <w:pPr>
        <w:pStyle w:val="Heading2"/>
      </w:pPr>
      <w:r>
        <w:rPr>
          <w:rFonts w:ascii="Arial" w:cs="Arial" w:eastAsia="Arial" w:hAnsi="Arial"/>
          <w:b/>
          <w:bCs/>
          <w:color w:val="2E75B6"/>
          <w:sz w:val="24"/>
          <w:szCs w:val="24"/>
        </w:rPr>
        <w:t xml:space="preserve">T2: Breakup / Debris Events</w:t>
      </w:r>
    </w:p>
    <w:p>
      <w:pPr>
        <w:spacing w:after="120"/>
      </w:pPr>
      <w:r>
        <w:rPr>
          <w:rFonts w:ascii="Arial" w:cs="Arial" w:eastAsia="Arial" w:hAnsi="Arial"/>
          <w:b/>
          <w:bCs/>
          <w:color w:val="000000"/>
          <w:sz w:val="20"/>
          <w:szCs w:val="20"/>
        </w:rPr>
        <w:t xml:space="preserve">26 records | Avg PI 46.9 | Mix of accidental and anomalous events</w:t>
      </w:r>
    </w:p>
    <w:p>
      <w:pPr>
        <w:spacing w:after="120"/>
      </w:pPr>
      <w:r>
        <w:rPr>
          <w:rFonts w:ascii="Arial" w:cs="Arial" w:eastAsia="Arial" w:hAnsi="Arial"/>
          <w:color w:val="000000"/>
          <w:sz w:val="20"/>
          <w:szCs w:val="20"/>
        </w:rPr>
        <w:t xml:space="preserve">The breakup cluster is small in volume but operationally critical. The dominant event is the Intelsat 33E (COSPAR 41748) catastrophic failure in GEO during October 2024, which generated 19 records over 10 days and is the only confirmed major debris-generating event in the corpus assessed as accidental. The two most recent breakup records — Possible Breakup / Luch Olymp (40258) in January–February 2026 — are unresolved as of the corpus end date and represent the most significant open question in the dataset.</w:t>
      </w:r>
    </w:p>
    <w:p>
      <w:pPr>
        <w:pStyle w:val="ListParagraph"/>
        <w:numPr>
          <w:ilvl w:val="0"/>
          <w:numId w:val="2"/>
        </w:numPr>
        <w:spacing w:after="80"/>
      </w:pPr>
      <w:r>
        <w:rPr>
          <w:rFonts w:ascii="Arial" w:cs="Arial" w:eastAsia="Arial" w:hAnsi="Arial"/>
          <w:sz w:val="20"/>
          <w:szCs w:val="20"/>
        </w:rPr>
        <w:t xml:space="preserve">Intelsat 33E (Oct 2024): Commercial GEO satellite propulsion failure. Debris fragments generated. 19 records, avg PI 56.3. Assessed accidental.</w:t>
      </w:r>
    </w:p>
    <w:p>
      <w:pPr>
        <w:pStyle w:val="ListParagraph"/>
        <w:numPr>
          <w:ilvl w:val="0"/>
          <w:numId w:val="2"/>
        </w:numPr>
        <w:spacing w:after="80"/>
      </w:pPr>
      <w:r>
        <w:rPr>
          <w:rFonts w:ascii="Arial" w:cs="Arial" w:eastAsia="Arial" w:hAnsi="Arial"/>
          <w:sz w:val="20"/>
          <w:szCs w:val="20"/>
        </w:rPr>
        <w:t xml:space="preserve">Luch Olymp 40258 (Jan–Feb 2026): OPEN. Two records report possible breakup. Luch Olymp is Russia's primary GEO intelligence collection satellite and has been active in proximity operations against commercial satellites throughout this corpus. Cause unknown. Requires immediate verification tasking.</w:t>
      </w:r>
    </w:p>
    <w:p>
      <w:pPr>
        <w:pStyle w:val="ListParagraph"/>
        <w:numPr>
          <w:ilvl w:val="0"/>
          <w:numId w:val="2"/>
        </w:numPr>
        <w:spacing w:after="80"/>
      </w:pPr>
      <w:r>
        <w:rPr>
          <w:rFonts w:ascii="Arial" w:cs="Arial" w:eastAsia="Arial" w:hAnsi="Arial"/>
          <w:sz w:val="20"/>
          <w:szCs w:val="20"/>
        </w:rPr>
        <w:t xml:space="preserve">Atlas 5 Centaur R/B (Sep 2024): Possible breakup of orbital stage. GTO. Assessed accidental legacy debris event.</w:t>
      </w:r>
    </w:p>
    <w:p>
      <w:pPr>
        <w:pStyle w:val="ListParagraph"/>
        <w:numPr>
          <w:ilvl w:val="0"/>
          <w:numId w:val="2"/>
        </w:numPr>
        <w:spacing w:after="80"/>
      </w:pPr>
      <w:r>
        <w:rPr>
          <w:rFonts w:ascii="Arial" w:cs="Arial" w:eastAsia="Arial" w:hAnsi="Arial"/>
          <w:sz w:val="20"/>
          <w:szCs w:val="20"/>
        </w:rPr>
        <w:t xml:space="preserve">Starlink-35956 (Dec 2025): Possible break-up in LEO. Single record, low confidence.</w:t>
      </w:r>
    </w:p>
    <w:p>
      <w:pPr>
        <w:spacing w:after="120"/>
      </w:pPr>
    </w:p>
    <w:p>
      <w:pPr>
        <w:pStyle w:val="Heading2"/>
      </w:pPr>
      <w:r>
        <w:rPr>
          <w:rFonts w:ascii="Arial" w:cs="Arial" w:eastAsia="Arial" w:hAnsi="Arial"/>
          <w:b/>
          <w:bCs/>
          <w:color w:val="2E75B6"/>
          <w:sz w:val="24"/>
          <w:szCs w:val="24"/>
        </w:rPr>
        <w:t xml:space="preserve">T3: Launch Events</w:t>
      </w:r>
    </w:p>
    <w:p>
      <w:pPr>
        <w:spacing w:after="120"/>
      </w:pPr>
      <w:r>
        <w:rPr>
          <w:rFonts w:ascii="Arial" w:cs="Arial" w:eastAsia="Arial" w:hAnsi="Arial"/>
          <w:b/>
          <w:bCs/>
          <w:color w:val="000000"/>
          <w:sz w:val="20"/>
          <w:szCs w:val="20"/>
        </w:rPr>
        <w:t xml:space="preserve">876 records | Largest single cluster by volume | Acceleration in H2 2025</w:t>
      </w:r>
    </w:p>
    <w:p>
      <w:pPr>
        <w:spacing w:after="120"/>
      </w:pPr>
      <w:r>
        <w:rPr>
          <w:rFonts w:ascii="Arial" w:cs="Arial" w:eastAsia="Arial" w:hAnsi="Arial"/>
          <w:color w:val="000000"/>
          <w:sz w:val="20"/>
          <w:szCs w:val="20"/>
        </w:rPr>
        <w:t xml:space="preserve">Launch tracking represents the single largest volume category. The dominant operational signal here is the dramatic acceleration in Chinese launch cadence in the second half of 2025, peaking in December 2025 with 95 launch records — the highest single-month count for any category across the entire corpus. Key launch programmes tracked: Shijian (SJ) series, Tongxin Jishu Shiyan (TJS) series, Shiyan (SY) series, Qianfan/G60 megaconstellation, and Russian Glonass-K and Elektro-L replenishment launches.</w:t>
      </w:r>
    </w:p>
    <w:p>
      <w:pPr>
        <w:spacing w:after="120"/>
      </w:pPr>
    </w:p>
    <w:p>
      <w:pPr>
        <w:pStyle w:val="Heading2"/>
      </w:pPr>
      <w:r>
        <w:rPr>
          <w:rFonts w:ascii="Arial" w:cs="Arial" w:eastAsia="Arial" w:hAnsi="Arial"/>
          <w:b/>
          <w:bCs/>
          <w:color w:val="2E75B6"/>
          <w:sz w:val="24"/>
          <w:szCs w:val="24"/>
        </w:rPr>
        <w:t xml:space="preserve">T4: Signature / Photometric Change</w:t>
      </w:r>
    </w:p>
    <w:p>
      <w:pPr>
        <w:spacing w:after="120"/>
      </w:pPr>
      <w:r>
        <w:rPr>
          <w:rFonts w:ascii="Arial" w:cs="Arial" w:eastAsia="Arial" w:hAnsi="Arial"/>
          <w:b/>
          <w:bCs/>
          <w:color w:val="000000"/>
          <w:sz w:val="20"/>
          <w:szCs w:val="20"/>
        </w:rPr>
        <w:t xml:space="preserve">565 records | Sustained campaign monitoring | TJS series dominant</w:t>
      </w:r>
    </w:p>
    <w:p>
      <w:pPr>
        <w:spacing w:after="120"/>
      </w:pPr>
      <w:r>
        <w:rPr>
          <w:rFonts w:ascii="Arial" w:cs="Arial" w:eastAsia="Arial" w:hAnsi="Arial"/>
          <w:color w:val="000000"/>
          <w:sz w:val="20"/>
          <w:szCs w:val="20"/>
        </w:rPr>
        <w:t xml:space="preserve">The photometric change cluster tracks long-duration observation campaigns against satellites exhibiting anomalous brightness, rotation, or thermal signature changes. TJS-3 (43874) is the most-monitored object: 49+ records across 295+ days, multiple distinct event class labels, and the subject of a direct RPO event (TJS-10 approach). The TJS satellite series as a whole is assessed as the primary Chinese signals intelligence/data relay programme and is consistently the highest-priority photometric monitoring target.</w:t>
      </w:r>
    </w:p>
    <w:p>
      <w:pPr>
        <w:pStyle w:val="ListParagraph"/>
        <w:numPr>
          <w:ilvl w:val="0"/>
          <w:numId w:val="2"/>
        </w:numPr>
        <w:spacing w:after="80"/>
      </w:pPr>
      <w:r>
        <w:rPr>
          <w:rFonts w:ascii="Arial" w:cs="Arial" w:eastAsia="Arial" w:hAnsi="Arial"/>
          <w:sz w:val="20"/>
          <w:szCs w:val="20"/>
        </w:rPr>
        <w:t xml:space="preserve">TJS-3: 49+ records. Anomalous photometric behaviour sustained over 295+ days. RPO by TJS-10 in Oct 2024 is the most operationally significant associated event.</w:t>
      </w:r>
    </w:p>
    <w:p>
      <w:pPr>
        <w:pStyle w:val="ListParagraph"/>
        <w:numPr>
          <w:ilvl w:val="0"/>
          <w:numId w:val="2"/>
        </w:numPr>
        <w:spacing w:after="80"/>
      </w:pPr>
      <w:r>
        <w:rPr>
          <w:rFonts w:ascii="Arial" w:cs="Arial" w:eastAsia="Arial" w:hAnsi="Arial"/>
          <w:sz w:val="20"/>
          <w:szCs w:val="20"/>
        </w:rPr>
        <w:t xml:space="preserve">SY-12 02 (50322): 23+ records over 467 days. Prolonged photometric anomaly. Assessed as Chinese experimental satellite with non-standard orientation behaviour.</w:t>
      </w:r>
    </w:p>
    <w:p>
      <w:pPr>
        <w:pStyle w:val="ListParagraph"/>
        <w:numPr>
          <w:ilvl w:val="0"/>
          <w:numId w:val="2"/>
        </w:numPr>
        <w:spacing w:after="80"/>
      </w:pPr>
      <w:r>
        <w:rPr>
          <w:rFonts w:ascii="Arial" w:cs="Arial" w:eastAsia="Arial" w:hAnsi="Arial"/>
          <w:sz w:val="20"/>
          <w:szCs w:val="20"/>
        </w:rPr>
        <w:t xml:space="preserve">SJ-23 (55131): 21+ records over 389 days. Combined with possible manoeuvre events in Jan 2023 (highest-PI non-RPO record in corpus at PI 58.1).</w:t>
      </w:r>
    </w:p>
    <w:p>
      <w:pPr>
        <w:pStyle w:val="ListParagraph"/>
        <w:numPr>
          <w:ilvl w:val="0"/>
          <w:numId w:val="2"/>
        </w:numPr>
        <w:spacing w:after="80"/>
      </w:pPr>
      <w:r>
        <w:rPr>
          <w:rFonts w:ascii="Arial" w:cs="Arial" w:eastAsia="Arial" w:hAnsi="Arial"/>
          <w:sz w:val="20"/>
          <w:szCs w:val="20"/>
        </w:rPr>
        <w:t xml:space="preserve">TJS-16, TJS-17, TJS-10: Each with 13-14 records. Coordinated monitoring of new TJS launches as they join the GEO belt.</w:t>
      </w:r>
    </w:p>
    <w:p>
      <w:pPr>
        <w:spacing w:after="120"/>
      </w:pPr>
    </w:p>
    <w:p>
      <w:pPr>
        <w:pStyle w:val="Heading2"/>
      </w:pPr>
      <w:r>
        <w:rPr>
          <w:rFonts w:ascii="Arial" w:cs="Arial" w:eastAsia="Arial" w:hAnsi="Arial"/>
          <w:b/>
          <w:bCs/>
          <w:color w:val="2E75B6"/>
          <w:sz w:val="24"/>
          <w:szCs w:val="24"/>
        </w:rPr>
        <w:t xml:space="preserve">T5 &amp; T6: Manoeuvre Events (Verified and Possible)</w:t>
      </w:r>
    </w:p>
    <w:p>
      <w:pPr>
        <w:spacing w:after="120"/>
      </w:pPr>
      <w:r>
        <w:rPr>
          <w:rFonts w:ascii="Arial" w:cs="Arial" w:eastAsia="Arial" w:hAnsi="Arial"/>
          <w:b/>
          <w:bCs/>
          <w:color w:val="000000"/>
          <w:sz w:val="20"/>
          <w:szCs w:val="20"/>
        </w:rPr>
        <w:t xml:space="preserve">90 verified + 158 possible = 248 total manoeuvre records | Avg PI 43-48</w:t>
      </w:r>
    </w:p>
    <w:p>
      <w:pPr>
        <w:spacing w:after="120"/>
      </w:pPr>
      <w:r>
        <w:rPr>
          <w:rFonts w:ascii="Arial" w:cs="Arial" w:eastAsia="Arial" w:hAnsi="Arial"/>
          <w:color w:val="000000"/>
          <w:sz w:val="20"/>
          <w:szCs w:val="20"/>
        </w:rPr>
        <w:t xml:space="preserve">Russian verified manoeuvre activity dominates the T5 cluster: Cosmos 2561 (27 records, LEO), Cosmos 2576 (16 records, LEO), Cosmos 2558 (14 records, LEO). These are assessed as part of Russia's Nivelir/inspector satellite programme, providing sustained LEO manoeuvre capability. Chinese possible manoeuvre records are distributed across Chinasat, TJS, SJ, and SY series. A notable absence: the 'Verified Maneuver' event type disappears from the data after 2023, suggesting a reporting classification change in the JCO workflow from 2024 onwards — events previously coded as Verified Manoeuvre are now coded within Other Manoeuvre Activity or RPO categories.</w:t>
      </w:r>
    </w:p>
    <w:p>
      <w:r>
        <w:br w:type="page"/>
      </w:r>
    </w:p>
    <w:p>
      <w:pPr>
        <w:pStyle w:val="Heading1"/>
      </w:pPr>
      <w:r>
        <w:rPr>
          <w:rFonts w:ascii="Arial" w:cs="Arial" w:eastAsia="Arial" w:hAnsi="Arial"/>
          <w:b/>
          <w:bCs/>
          <w:color w:val="1F3864"/>
          <w:sz w:val="28"/>
          <w:szCs w:val="28"/>
        </w:rPr>
        <w:t xml:space="preserve">TIMELINE, DELTA ANALYSIS &amp; TRENDS</w:t>
      </w:r>
    </w:p>
    <w:p>
      <w:pPr>
        <w:pStyle w:val="Heading2"/>
      </w:pPr>
      <w:r>
        <w:rPr>
          <w:rFonts w:ascii="Arial" w:cs="Arial" w:eastAsia="Arial" w:hAnsi="Arial"/>
          <w:b/>
          <w:bCs/>
          <w:color w:val="2E75B6"/>
          <w:sz w:val="24"/>
          <w:szCs w:val="24"/>
        </w:rPr>
        <w:t xml:space="preserve">Annual Volume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Year</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RPO</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 Man.</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 Change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Launch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573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553</w:t>
            </w:r>
          </w:p>
        </w:tc>
        <w:tc>
          <w:tcPr>
            <w:tcW w:type="dxa" w:w="1200"/>
            <w:tcBorders>
              <w:top w:val="single" w:color="CCCCCC" w:sz="1"/>
              <w:left w:val="single" w:color="CCCCCC" w:sz="1"/>
              <w:bottom w:val="single" w:color="CCCCCC" w:sz="1"/>
              <w:right w:val="single" w:color="CCCCCC" w:sz="1"/>
            </w:tcBorders>
            <w:shd w:fill="FFD700"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62 (+785%)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2025</w:t>
            </w:r>
          </w:p>
        </w:tc>
        <w:tc>
          <w:tcPr>
            <w:tcW w:type="dxa" w:w="1200"/>
            <w:tcBorders>
              <w:top w:val="single" w:color="CCCCCC" w:sz="1"/>
              <w:left w:val="single" w:color="CCCCCC" w:sz="1"/>
              <w:bottom w:val="single" w:color="CCCCCC" w:sz="1"/>
              <w:right w:val="single" w:color="CCCCCC" w:sz="1"/>
            </w:tcBorders>
            <w:shd w:fill="FF8C00"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1,432</w:t>
            </w:r>
          </w:p>
        </w:tc>
        <w:tc>
          <w:tcPr>
            <w:tcW w:type="dxa" w:w="1200"/>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158 (+155%)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2026 (Q1)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High</w:t>
            </w:r>
          </w:p>
        </w:tc>
      </w:tr>
    </w:tbl>
    <w:p>
      <w:pPr>
        <w:spacing w:after="120"/>
      </w:pPr>
      <w:r>
        <w:rPr>
          <w:rFonts w:ascii="Arial" w:cs="Arial" w:eastAsia="Arial" w:hAnsi="Arial"/>
          <w:color w:val="000000"/>
          <w:sz w:val="20"/>
          <w:szCs w:val="20"/>
        </w:rPr>
        <w:t xml:space="preserve">* 'Verified Maneuver' event_type absent from JCO reporting from 2024 onwards — assessed as reporting categorisation change, not cessation of manoeuvre activity. Manoeuvre events continued under Other Manoeuvre Activity category.</w:t>
      </w:r>
    </w:p>
    <w:p>
      <w:pPr>
        <w:spacing w:after="120"/>
      </w:pPr>
    </w:p>
    <w:p>
      <w:pPr>
        <w:pStyle w:val="Heading2"/>
      </w:pPr>
      <w:r>
        <w:rPr>
          <w:rFonts w:ascii="Arial" w:cs="Arial" w:eastAsia="Arial" w:hAnsi="Arial"/>
          <w:b/>
          <w:bCs/>
          <w:color w:val="2E75B6"/>
          <w:sz w:val="24"/>
          <w:szCs w:val="24"/>
        </w:rPr>
        <w:t xml:space="preserve">Critical Discontinuity: 2025 Volume Surge</w:t>
      </w:r>
    </w:p>
    <w:p>
      <w:pPr>
        <w:spacing w:after="120"/>
      </w:pPr>
      <w:r>
        <w:rPr>
          <w:rFonts w:ascii="Arial" w:cs="Arial" w:eastAsia="Arial" w:hAnsi="Arial"/>
          <w:color w:val="000000"/>
          <w:sz w:val="20"/>
          <w:szCs w:val="20"/>
        </w:rPr>
        <w:t xml:space="preserve">The transition from 2024 (553 records) to 2025 (1,432 records) represents the most significant discontinuity in the corpus. The surge is distributed across all themes — RPO, manoeuvre, signature change, and launch — ruling out a single event as the driver. Assessment: the increase reflects genuine expansion of Chinese and Russian space activities in 2025, amplified by JCO's increased collection posture. Confidence: High.</w:t>
      </w:r>
    </w:p>
    <w:p>
      <w:pPr>
        <w:spacing w:after="120"/>
      </w:pPr>
    </w:p>
    <w:p>
      <w:pPr>
        <w:pStyle w:val="Heading2"/>
      </w:pPr>
      <w:r>
        <w:rPr>
          <w:rFonts w:ascii="Arial" w:cs="Arial" w:eastAsia="Arial" w:hAnsi="Arial"/>
          <w:b/>
          <w:bCs/>
          <w:color w:val="2E75B6"/>
          <w:sz w:val="24"/>
          <w:szCs w:val="24"/>
        </w:rPr>
        <w:t xml:space="preserve">Data Collection Gaps</w:t>
      </w:r>
    </w:p>
    <w:p>
      <w:pPr>
        <w:spacing w:after="120"/>
      </w:pPr>
      <w:r>
        <w:rPr>
          <w:rFonts w:ascii="Arial" w:cs="Arial" w:eastAsia="Arial" w:hAnsi="Arial"/>
          <w:color w:val="000000"/>
          <w:sz w:val="20"/>
          <w:szCs w:val="20"/>
        </w:rPr>
        <w:t xml:space="preserve">The following months are entirely absent from the corpus, representing confirmed analytic blind spots:</w:t>
      </w:r>
    </w:p>
    <w:p>
      <w:pPr>
        <w:pStyle w:val="ListParagraph"/>
        <w:numPr>
          <w:ilvl w:val="0"/>
          <w:numId w:val="2"/>
        </w:numPr>
        <w:spacing w:after="80"/>
      </w:pPr>
      <w:r>
        <w:rPr>
          <w:rFonts w:ascii="Arial" w:cs="Arial" w:eastAsia="Arial" w:hAnsi="Arial"/>
          <w:sz w:val="20"/>
          <w:szCs w:val="20"/>
        </w:rPr>
        <w:t xml:space="preserve">February 2024 — 0 records</w:t>
      </w:r>
    </w:p>
    <w:p>
      <w:pPr>
        <w:pStyle w:val="ListParagraph"/>
        <w:numPr>
          <w:ilvl w:val="0"/>
          <w:numId w:val="2"/>
        </w:numPr>
        <w:spacing w:after="80"/>
      </w:pPr>
      <w:r>
        <w:rPr>
          <w:rFonts w:ascii="Arial" w:cs="Arial" w:eastAsia="Arial" w:hAnsi="Arial"/>
          <w:sz w:val="20"/>
          <w:szCs w:val="20"/>
        </w:rPr>
        <w:t xml:space="preserve">March 2024 — 0 records</w:t>
      </w:r>
    </w:p>
    <w:p>
      <w:pPr>
        <w:pStyle w:val="ListParagraph"/>
        <w:numPr>
          <w:ilvl w:val="0"/>
          <w:numId w:val="2"/>
        </w:numPr>
        <w:spacing w:after="80"/>
      </w:pPr>
      <w:r>
        <w:rPr>
          <w:rFonts w:ascii="Arial" w:cs="Arial" w:eastAsia="Arial" w:hAnsi="Arial"/>
          <w:sz w:val="20"/>
          <w:szCs w:val="20"/>
        </w:rPr>
        <w:t xml:space="preserve">April 2024 — 0 records (gap interrupted by 4 launch records in May 2024)</w:t>
      </w:r>
    </w:p>
    <w:p>
      <w:pPr>
        <w:pStyle w:val="ListParagraph"/>
        <w:numPr>
          <w:ilvl w:val="0"/>
          <w:numId w:val="2"/>
        </w:numPr>
        <w:spacing w:after="80"/>
      </w:pPr>
      <w:r>
        <w:rPr>
          <w:rFonts w:ascii="Arial" w:cs="Arial" w:eastAsia="Arial" w:hAnsi="Arial"/>
          <w:sz w:val="20"/>
          <w:szCs w:val="20"/>
        </w:rPr>
        <w:t xml:space="preserve">July 2024 — 0 records</w:t>
      </w:r>
    </w:p>
    <w:p>
      <w:pPr>
        <w:spacing w:after="120"/>
      </w:pPr>
      <w:r>
        <w:rPr>
          <w:rFonts w:ascii="Arial" w:cs="Arial" w:eastAsia="Arial" w:hAnsi="Arial"/>
          <w:color w:val="000000"/>
          <w:sz w:val="20"/>
          <w:szCs w:val="20"/>
        </w:rPr>
        <w:t xml:space="preserve">These gaps are assessed as collection/archiving interruptions, not genuine operational silence. Any events occurring during these windows — including manoeuvres, RPO activity, or launches — are absent from this analysis.</w:t>
      </w:r>
    </w:p>
    <w:p>
      <w:pPr>
        <w:spacing w:after="120"/>
      </w:pPr>
    </w:p>
    <w:p>
      <w:pPr>
        <w:pStyle w:val="Heading2"/>
      </w:pPr>
      <w:r>
        <w:rPr>
          <w:rFonts w:ascii="Arial" w:cs="Arial" w:eastAsia="Arial" w:hAnsi="Arial"/>
          <w:b/>
          <w:bCs/>
          <w:color w:val="2E75B6"/>
          <w:sz w:val="24"/>
          <w:szCs w:val="24"/>
        </w:rPr>
        <w:t xml:space="preserve">Update Chain Analysis</w:t>
      </w:r>
    </w:p>
    <w:p>
      <w:pPr>
        <w:spacing w:after="120"/>
      </w:pPr>
      <w:r>
        <w:rPr>
          <w:rFonts w:ascii="Arial" w:cs="Arial" w:eastAsia="Arial" w:hAnsi="Arial"/>
          <w:color w:val="000000"/>
          <w:sz w:val="20"/>
          <w:szCs w:val="20"/>
        </w:rPr>
        <w:t xml:space="preserve">709 event IDs contain more than one NOTSO record, representing continuous tracking chains. The longest chains (36 and 32 records spanning 32-35 days) correspond to the SJ-25/SJ-21 RPO operation. Delta analysis of these chains reveals a consistent JCO analytical pattern: initial reports use Possible Manoeuvre language, subsequent updates add delta-V and period change data (increasing credibility scores), and final reports stabilise with confirmed orbital parameters. This three-phase pattern — possible, confirmed, closed — is the dominant update chain structure.</w:t>
      </w:r>
    </w:p>
    <w:p>
      <w:pPr>
        <w:spacing w:after="120"/>
      </w:pPr>
    </w:p>
    <w:p>
      <w:pPr>
        <w:pStyle w:val="Heading2"/>
      </w:pPr>
      <w:r>
        <w:rPr>
          <w:rFonts w:ascii="Arial" w:cs="Arial" w:eastAsia="Arial" w:hAnsi="Arial"/>
          <w:b/>
          <w:bCs/>
          <w:color w:val="2E75B6"/>
          <w:sz w:val="24"/>
          <w:szCs w:val="24"/>
        </w:rPr>
        <w:t xml:space="preserve">Trend Forecast</w:t>
      </w:r>
    </w:p>
    <w:p>
      <w:pPr>
        <w:spacing w:after="120"/>
      </w:pPr>
      <w:r>
        <w:rPr>
          <w:rFonts w:ascii="Arial" w:cs="Arial" w:eastAsia="Arial" w:hAnsi="Arial"/>
          <w:color w:val="000000"/>
          <w:sz w:val="20"/>
          <w:szCs w:val="20"/>
        </w:rPr>
        <w:t xml:space="preserve">Based on trajectory through the corpus:</w:t>
      </w:r>
    </w:p>
    <w:p>
      <w:pPr>
        <w:pStyle w:val="ListParagraph"/>
        <w:numPr>
          <w:ilvl w:val="0"/>
          <w:numId w:val="2"/>
        </w:numPr>
        <w:spacing w:after="80"/>
      </w:pPr>
      <w:r>
        <w:rPr>
          <w:rFonts w:ascii="Arial" w:cs="Arial" w:eastAsia="Arial" w:hAnsi="Arial"/>
          <w:sz w:val="20"/>
          <w:szCs w:val="20"/>
        </w:rPr>
        <w:t xml:space="preserve">RPO activity will continue to increase. The 11x growth from 2022 to 2025 shows no sign of plateauing. Chinese GEO operations (SJ-25/SJ-21 pattern) and Russian LEO inspector campaigns (Cosmos series) are both assessed as active ongoing programmes. Confidence: High.</w:t>
      </w:r>
    </w:p>
    <w:p>
      <w:pPr>
        <w:pStyle w:val="ListParagraph"/>
        <w:numPr>
          <w:ilvl w:val="0"/>
          <w:numId w:val="2"/>
        </w:numPr>
        <w:spacing w:after="80"/>
      </w:pPr>
      <w:r>
        <w:rPr>
          <w:rFonts w:ascii="Arial" w:cs="Arial" w:eastAsia="Arial" w:hAnsi="Arial"/>
          <w:sz w:val="20"/>
          <w:szCs w:val="20"/>
        </w:rPr>
        <w:t xml:space="preserve">Chinese launch tempo will remain elevated. December 2025's 95 launch records represents a new baseline, driven by G60 megaconstellation deployment and continued TJS/SJ programme expansion. Confidence: High.</w:t>
      </w:r>
    </w:p>
    <w:p>
      <w:pPr>
        <w:pStyle w:val="ListParagraph"/>
        <w:numPr>
          <w:ilvl w:val="0"/>
          <w:numId w:val="2"/>
        </w:numPr>
        <w:spacing w:after="80"/>
      </w:pPr>
      <w:r>
        <w:rPr>
          <w:rFonts w:ascii="Arial" w:cs="Arial" w:eastAsia="Arial" w:hAnsi="Arial"/>
          <w:sz w:val="20"/>
          <w:szCs w:val="20"/>
        </w:rPr>
        <w:t xml:space="preserve">Luch Olymp (40258) status requires resolution. The Jan-Feb 2026 possible breakup records are the most significant open item in the corpus. If confirmed, this removes Russia's primary GEO intelligence satellite from the order of battle. Confidence of event: Low-Medium (unverified). Impact if confirmed: High.</w:t>
      </w:r>
    </w:p>
    <w:p>
      <w:pPr>
        <w:pStyle w:val="ListParagraph"/>
        <w:numPr>
          <w:ilvl w:val="0"/>
          <w:numId w:val="2"/>
        </w:numPr>
        <w:spacing w:after="80"/>
      </w:pPr>
      <w:r>
        <w:rPr>
          <w:rFonts w:ascii="Arial" w:cs="Arial" w:eastAsia="Arial" w:hAnsi="Arial"/>
          <w:sz w:val="20"/>
          <w:szCs w:val="20"/>
        </w:rPr>
        <w:t xml:space="preserve">TJS series RPO events are likely to continue. The TJS-10/TJS-3 pattern (approach of newer TJS satellite to older photometric anomaly subject) may recur with TJS-15, TJS-16, or TJS-17 as subjects. The photometric monitoring campaign against TJS series objects is the longest-running observation programme in the corpus. Confidence: Medium.</w:t>
      </w:r>
    </w:p>
    <w:p>
      <w:pPr>
        <w:pStyle w:val="ListParagraph"/>
        <w:numPr>
          <w:ilvl w:val="0"/>
          <w:numId w:val="2"/>
        </w:numPr>
        <w:spacing w:after="80"/>
      </w:pPr>
      <w:r>
        <w:rPr>
          <w:rFonts w:ascii="Arial" w:cs="Arial" w:eastAsia="Arial" w:hAnsi="Arial"/>
          <w:sz w:val="20"/>
          <w:szCs w:val="20"/>
        </w:rPr>
        <w:t xml:space="preserve">Unknown object attribution gap will grow. 22% of records currently lack nation attribution. As both China and Russia deploy more unlabelled test objects (Object C, D, F, G pattern), this gap will widen without expanded catalogue maintenance. Confidence: High.</w:t>
      </w:r>
    </w:p>
    <w:p>
      <w:r>
        <w:br w:type="page"/>
      </w:r>
    </w:p>
    <w:p>
      <w:pPr>
        <w:pStyle w:val="Heading1"/>
      </w:pPr>
      <w:r>
        <w:rPr>
          <w:rFonts w:ascii="Arial" w:cs="Arial" w:eastAsia="Arial" w:hAnsi="Arial"/>
          <w:b/>
          <w:bCs/>
          <w:color w:val="1F3864"/>
          <w:sz w:val="28"/>
          <w:szCs w:val="28"/>
        </w:rPr>
        <w:t xml:space="preserve">COLLECTION AND VERIFICATION TASKS</w:t>
      </w:r>
    </w:p>
    <w:p>
      <w:pPr>
        <w:spacing w:after="120"/>
      </w:pPr>
      <w:r>
        <w:rPr>
          <w:rFonts w:ascii="Arial" w:cs="Arial" w:eastAsia="Arial" w:hAnsi="Arial"/>
          <w:color w:val="000000"/>
          <w:sz w:val="20"/>
          <w:szCs w:val="20"/>
        </w:rPr>
        <w:t xml:space="preserve">The following tasks are ordered by Priority Index and operational urgency. Items marked IMMEDIATE require action before the next analytical cycle.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60"/>
        <w:gridCol w:w="1800"/>
        <w:gridCol w:w="18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c>
          <w:tcPr>
            <w:tcW w:type="dxa" w:w="34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Asset</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Deadline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IMMEDIATE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Verify status of Luch Olymp (40258): confirm or deny breakup reported Jan-Feb 2026 (N1486, N1493). Check current catalogue entry, any new TLE, debris catalogue updates.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SSN / SSA sensors tasked to GEO/xGEO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Next 24 hrs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F8C0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SJ-25/SJ-21 RPO status: 36 records end 2025. Confirm whether proximity operation is ongoing or closed. Update separation distance and drift rate.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GEO SSA, electro-optical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48 hrs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TJS-3 photometric status: 49+ monitoring records. Is the anomaly ongoing? Has the TJS-10 approach (Oct 2024) altered TJS-3 behaviour or orientation?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Optical/photometric sensors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72 hrs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Cosmos 2589 / Object C status: last chain records in 2024. Confirm current separation, operational status of Object 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GEO SSA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72 hrs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Fill 2024 gap months (Feb, Mar, Apr, Jul): source any alternative NOTSO records or JCO archives to reconstruct events in these blank windows.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JCO archive / UDL query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week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Unknown object attribution: Objects C, D, F, G in RPO chains. Request expanded catalogue data or observation to confirm nationality and mission type.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Intelligence community, catalogue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SJ-23 (55131) continued monitoring: active manoeuvre + photometric change history over 389 days. Confirm current operational status and orbit.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LEO/DS SSA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 weeks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Cosmos 2576 and 2558 LEO manoeuvre campaign: 14–16 records each. Confirm whether subsequent manoeuvres have occurred after last NOTSO record 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LEO SSA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Intelsat 33E debris field: confirm current fragment count, tracked vs untracked ratio, decay timeline.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SSN debris catalogue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month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Baseline tuning: provide JCO NOTSO template library to enable improved anomaly detection for future batch analysis.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JCO admin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Next batch prep</w:t>
            </w:r>
          </w:p>
        </w:tc>
      </w:tr>
    </w:tbl>
    <w:p>
      <w:r>
        <w:br w:type="page"/>
      </w:r>
    </w:p>
    <w:p>
      <w:pPr>
        <w:pStyle w:val="Heading1"/>
      </w:pPr>
      <w:r>
        <w:rPr>
          <w:rFonts w:ascii="Arial" w:cs="Arial" w:eastAsia="Arial" w:hAnsi="Arial"/>
          <w:b/>
          <w:bCs/>
          <w:color w:val="1F3864"/>
          <w:sz w:val="28"/>
          <w:szCs w:val="28"/>
        </w:rPr>
        <w:t xml:space="preserve">ANALYTIC NOTES, ASSUMPTIONS &amp; LIMITATIONS</w:t>
      </w:r>
    </w:p>
    <w:p>
      <w:pPr>
        <w:pStyle w:val="Heading2"/>
      </w:pPr>
      <w:r>
        <w:rPr>
          <w:rFonts w:ascii="Arial" w:cs="Arial" w:eastAsia="Arial" w:hAnsi="Arial"/>
          <w:b/>
          <w:bCs/>
          <w:color w:val="2E75B6"/>
          <w:sz w:val="24"/>
          <w:szCs w:val="24"/>
        </w:rPr>
        <w:t xml:space="preserve">Baseline Tuning Pack Status</w:t>
      </w:r>
    </w:p>
    <w:p>
      <w:pPr>
        <w:spacing w:after="120"/>
      </w:pPr>
      <w:r>
        <w:rPr>
          <w:rFonts w:ascii="Arial" w:cs="Arial" w:eastAsia="Arial" w:hAnsi="Arial"/>
          <w:color w:val="000000"/>
          <w:sz w:val="20"/>
          <w:szCs w:val="20"/>
        </w:rPr>
        <w:t xml:space="preserve">No baseline tuning pack was available for this analysis. The following capabilities were consequently absent: template deviation detection, known-actor behavioural baseline comparison, and anomaly scoring calibrated to historical JCO reporting patterns. All anomaly scores are derived from content signals (escalation language, delta-V magnitudes, provider count) rather than behavioural deviation from baseline. This reduces the sensitivity of anomaly detection for sophisticated actors who maintain consistent reporting patterns.</w:t>
      </w:r>
    </w:p>
    <w:p>
      <w:pPr>
        <w:spacing w:after="120"/>
      </w:pPr>
    </w:p>
    <w:p>
      <w:pPr>
        <w:pStyle w:val="Heading2"/>
      </w:pPr>
      <w:r>
        <w:rPr>
          <w:rFonts w:ascii="Arial" w:cs="Arial" w:eastAsia="Arial" w:hAnsi="Arial"/>
          <w:b/>
          <w:bCs/>
          <w:color w:val="2E75B6"/>
          <w:sz w:val="24"/>
          <w:szCs w:val="24"/>
        </w:rPr>
        <w:t xml:space="preserve">Nation Attribution Confidence</w:t>
      </w:r>
    </w:p>
    <w:p>
      <w:pPr>
        <w:spacing w:after="120"/>
      </w:pPr>
      <w:r>
        <w:rPr>
          <w:rFonts w:ascii="Arial" w:cs="Arial" w:eastAsia="Arial" w:hAnsi="Arial"/>
          <w:color w:val="000000"/>
          <w:sz w:val="20"/>
          <w:szCs w:val="20"/>
        </w:rPr>
        <w:t xml:space="preserve">Nation attribution is derived from automated pattern matching against known spacecraft names. Confidence is:</w:t>
      </w:r>
    </w:p>
    <w:p>
      <w:pPr>
        <w:pStyle w:val="ListParagraph"/>
        <w:numPr>
          <w:ilvl w:val="0"/>
          <w:numId w:val="2"/>
        </w:numPr>
        <w:spacing w:after="80"/>
      </w:pPr>
      <w:r>
        <w:rPr>
          <w:rFonts w:ascii="Arial" w:cs="Arial" w:eastAsia="Arial" w:hAnsi="Arial"/>
          <w:sz w:val="20"/>
          <w:szCs w:val="20"/>
        </w:rPr>
        <w:t xml:space="preserve">High for well-known named satellites (Luch Olymp, Cosmos series, TJS series, SJ series)</w:t>
      </w:r>
    </w:p>
    <w:p>
      <w:pPr>
        <w:pStyle w:val="ListParagraph"/>
        <w:numPr>
          <w:ilvl w:val="0"/>
          <w:numId w:val="2"/>
        </w:numPr>
        <w:spacing w:after="80"/>
      </w:pPr>
      <w:r>
        <w:rPr>
          <w:rFonts w:ascii="Arial" w:cs="Arial" w:eastAsia="Arial" w:hAnsi="Arial"/>
          <w:sz w:val="20"/>
          <w:szCs w:val="20"/>
        </w:rPr>
        <w:t xml:space="preserve">Medium for objects named by type and manufacturer with multiple name variants (Chinasat vs CHINASAT vs ChinaSat)</w:t>
      </w:r>
    </w:p>
    <w:p>
      <w:pPr>
        <w:pStyle w:val="ListParagraph"/>
        <w:numPr>
          <w:ilvl w:val="0"/>
          <w:numId w:val="2"/>
        </w:numPr>
        <w:spacing w:after="80"/>
      </w:pPr>
      <w:r>
        <w:rPr>
          <w:rFonts w:ascii="Arial" w:cs="Arial" w:eastAsia="Arial" w:hAnsi="Arial"/>
          <w:sz w:val="20"/>
          <w:szCs w:val="20"/>
        </w:rPr>
        <w:t xml:space="preserve">Low/UNKNOWN for unlabelled objects (Object C, Object D, Object G, Object F, unknown payloads)</w:t>
      </w:r>
    </w:p>
    <w:p>
      <w:pPr>
        <w:spacing w:after="120"/>
      </w:pPr>
      <w:r>
        <w:rPr>
          <w:rFonts w:ascii="Arial" w:cs="Arial" w:eastAsia="Arial" w:hAnsi="Arial"/>
          <w:color w:val="000000"/>
          <w:sz w:val="20"/>
          <w:szCs w:val="20"/>
        </w:rPr>
        <w:t xml:space="preserve">The 22% unknown attribution rate is a material gap. Several of the highest-PI records involve unattributed objects.</w:t>
      </w:r>
    </w:p>
    <w:p>
      <w:pPr>
        <w:spacing w:after="120"/>
      </w:pPr>
    </w:p>
    <w:p>
      <w:pPr>
        <w:pStyle w:val="Heading2"/>
      </w:pPr>
      <w:r>
        <w:rPr>
          <w:rFonts w:ascii="Arial" w:cs="Arial" w:eastAsia="Arial" w:hAnsi="Arial"/>
          <w:b/>
          <w:bCs/>
          <w:color w:val="2E75B6"/>
          <w:sz w:val="24"/>
          <w:szCs w:val="24"/>
        </w:rPr>
        <w:t xml:space="preserve">Scoring Model Assumptions</w:t>
      </w:r>
    </w:p>
    <w:p>
      <w:pPr>
        <w:spacing w:after="120"/>
      </w:pPr>
      <w:r>
        <w:rPr>
          <w:rFonts w:ascii="Arial" w:cs="Arial" w:eastAsia="Arial" w:hAnsi="Arial"/>
          <w:color w:val="000000"/>
          <w:sz w:val="20"/>
          <w:szCs w:val="20"/>
        </w:rPr>
        <w:t xml:space="preserve">The 7-dimension scoring model uses the default weights from the NOTSO Intelligence Fusion Analyst persona specification (Credibility 0.20, Novelty 0.10, Operational Relevance 0.25, Anomaly 0.15, Coordination 0.10, Escalation 0.10, Deception Risk 0.10). These weights have not been calibrated against operational outcomes and should be treated as working defaults. The deception risk score is capped at 80 for this corpus — JCO is an official government source and the base deception risk is assessed as lower than for open-source reporting.</w:t>
      </w:r>
    </w:p>
    <w:p>
      <w:pPr>
        <w:spacing w:after="120"/>
      </w:pPr>
    </w:p>
    <w:p>
      <w:pPr>
        <w:pStyle w:val="Heading2"/>
      </w:pPr>
      <w:r>
        <w:rPr>
          <w:rFonts w:ascii="Arial" w:cs="Arial" w:eastAsia="Arial" w:hAnsi="Arial"/>
          <w:b/>
          <w:bCs/>
          <w:color w:val="2E75B6"/>
          <w:sz w:val="24"/>
          <w:szCs w:val="24"/>
        </w:rPr>
        <w:t xml:space="preserve">What Would Change This Assessment</w:t>
      </w:r>
    </w:p>
    <w:p>
      <w:pPr>
        <w:pStyle w:val="ListParagraph"/>
        <w:numPr>
          <w:ilvl w:val="0"/>
          <w:numId w:val="2"/>
        </w:numPr>
        <w:spacing w:after="80"/>
      </w:pPr>
      <w:r>
        <w:rPr>
          <w:rFonts w:ascii="Arial" w:cs="Arial" w:eastAsia="Arial" w:hAnsi="Arial"/>
          <w:sz w:val="20"/>
          <w:szCs w:val="20"/>
        </w:rPr>
        <w:t xml:space="preserve">Luch Olymp breakup confirmation: would escalate to Immediate alert; all Russian GEO coverage analysis would require revision.</w:t>
      </w:r>
    </w:p>
    <w:p>
      <w:pPr>
        <w:pStyle w:val="ListParagraph"/>
        <w:numPr>
          <w:ilvl w:val="0"/>
          <w:numId w:val="2"/>
        </w:numPr>
        <w:spacing w:after="80"/>
      </w:pPr>
      <w:r>
        <w:rPr>
          <w:rFonts w:ascii="Arial" w:cs="Arial" w:eastAsia="Arial" w:hAnsi="Arial"/>
          <w:sz w:val="20"/>
          <w:szCs w:val="20"/>
        </w:rPr>
        <w:t xml:space="preserve">SJ-25/SJ-21 RPO continuation data: would raise the China GEO RPO threat assessment from 'active campaign' to 'persistent capability deployment'.</w:t>
      </w:r>
    </w:p>
    <w:p>
      <w:pPr>
        <w:pStyle w:val="ListParagraph"/>
        <w:numPr>
          <w:ilvl w:val="0"/>
          <w:numId w:val="2"/>
        </w:numPr>
        <w:spacing w:after="80"/>
      </w:pPr>
      <w:r>
        <w:rPr>
          <w:rFonts w:ascii="Arial" w:cs="Arial" w:eastAsia="Arial" w:hAnsi="Arial"/>
          <w:sz w:val="20"/>
          <w:szCs w:val="20"/>
        </w:rPr>
        <w:t xml:space="preserve">Recovery of 2024 gap data: could reveal a significant event (launch, RPO, or manoeuvre) currently invisible to this analysis.</w:t>
      </w:r>
    </w:p>
    <w:p>
      <w:pPr>
        <w:pStyle w:val="ListParagraph"/>
        <w:numPr>
          <w:ilvl w:val="0"/>
          <w:numId w:val="2"/>
        </w:numPr>
        <w:spacing w:after="80"/>
      </w:pPr>
      <w:r>
        <w:rPr>
          <w:rFonts w:ascii="Arial" w:cs="Arial" w:eastAsia="Arial" w:hAnsi="Arial"/>
          <w:sz w:val="20"/>
          <w:szCs w:val="20"/>
        </w:rPr>
        <w:t xml:space="preserve">TJS-3 operational disruption confirmation: TJS-3 is assessed as a Chinese GEO intelligence relay. If the TJS-10 RPO was offensive, confirmation of disruption would materially change the escalation assessment.</w:t>
      </w:r>
    </w:p>
    <w:p>
      <w:pPr>
        <w:spacing w:after="120"/>
      </w:pPr>
    </w:p>
    <w:p>
      <w:pPr>
        <w:pStyle w:val="Heading2"/>
      </w:pPr>
      <w:r>
        <w:rPr>
          <w:rFonts w:ascii="Arial" w:cs="Arial" w:eastAsia="Arial" w:hAnsi="Arial"/>
          <w:b/>
          <w:bCs/>
          <w:color w:val="2E75B6"/>
          <w:sz w:val="24"/>
          <w:szCs w:val="24"/>
        </w:rPr>
        <w:t xml:space="preserve">Analyst Coverage</w:t>
      </w:r>
    </w:p>
    <w:p>
      <w:pPr>
        <w:spacing w:after="120"/>
      </w:pPr>
      <w:r>
        <w:rPr>
          <w:rFonts w:ascii="Arial" w:cs="Arial" w:eastAsia="Arial" w:hAnsi="Arial"/>
          <w:color w:val="000000"/>
          <w:sz w:val="20"/>
          <w:szCs w:val="20"/>
        </w:rPr>
        <w:t xml:space="preserve">15 primary analysts contributed records, led by Jackie Cerullo (748 records, 24% of corpus) and Michael Roberts (308 records, 10%). The top two analysts account for 34% of all records. Analyst identity is stored in the Company_Name field, suggesting individual analyst attribution rather than organizational affiliation. No analyst bias or systematic reporting differences were assessed in this analysis — this represents a recommended follow-up investigation.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31 March 2026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666666"/>
        <w:sz w:val="16"/>
        <w:szCs w:val="16"/>
      </w:rPr>
      <w:t xml:space="preserve">NOTSO INTELLIGENCE CORPUS — FULL BATCH FORENSIC ANALYSIS</w:t>
    </w:r>
    <w:r>
      <w:rPr>
        <w:rFonts w:ascii="Arial" w:cs="Arial" w:eastAsia="Arial" w:hAnsi="Arial"/>
        <w:b/>
        <w:bCs/>
        <w:color w:val="880000"/>
        <w:sz w:val="16"/>
        <w:szCs w:val="16"/>
      </w:rPr>
      <w:t xml:space="preserve">	UNCLASSIFIED // DS-JCO-NOTIF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2026-03-31T23:06:05.414Z</dcterms:created>
  <dcterms:modified xsi:type="dcterms:W3CDTF">2026-03-31T23:06:05.415Z</dcterms:modified>
</cp:coreProperties>
</file>

<file path=docProps/custom.xml><?xml version="1.0" encoding="utf-8"?>
<Properties xmlns="http://schemas.openxmlformats.org/officeDocument/2006/custom-properties" xmlns:vt="http://schemas.openxmlformats.org/officeDocument/2006/docPropsVTypes"/>
</file>