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A42DA">
      <w:pPr>
        <w:jc w:val="center"/>
        <w:rPr>
          <w:rFonts w:hint="eastAsia"/>
          <w:sz w:val="24"/>
          <w:szCs w:val="24"/>
        </w:rPr>
      </w:pPr>
      <w:r>
        <w:rPr>
          <w:rFonts w:hint="eastAsia" w:ascii="微软雅黑" w:hAnsi="微软雅黑" w:eastAsia="微软雅黑" w:cs="微软雅黑"/>
          <w:i w:val="0"/>
          <w:iCs w:val="0"/>
          <w:caps w:val="0"/>
          <w:color w:val="333333"/>
          <w:spacing w:val="0"/>
          <w:sz w:val="16"/>
          <w:szCs w:val="16"/>
          <w:shd w:val="clear" w:fill="F7F7F7"/>
        </w:rPr>
        <w:drawing>
          <wp:inline distT="0" distB="0" distL="114300" distR="114300">
            <wp:extent cx="4268470" cy="5899785"/>
            <wp:effectExtent l="0" t="0" r="11430" b="5715"/>
            <wp:docPr id="1" name="图片 1" descr="c75ecc30eaee0ede022233de92cc2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5ecc30eaee0ede022233de92cc233c"/>
                    <pic:cNvPicPr>
                      <a:picLocks noChangeAspect="1"/>
                    </pic:cNvPicPr>
                  </pic:nvPicPr>
                  <pic:blipFill>
                    <a:blip r:embed="rId4"/>
                    <a:stretch>
                      <a:fillRect/>
                    </a:stretch>
                  </pic:blipFill>
                  <pic:spPr>
                    <a:xfrm>
                      <a:off x="0" y="0"/>
                      <a:ext cx="4268470" cy="5899785"/>
                    </a:xfrm>
                    <a:prstGeom prst="rect">
                      <a:avLst/>
                    </a:prstGeom>
                  </pic:spPr>
                </pic:pic>
              </a:graphicData>
            </a:graphic>
          </wp:inline>
        </w:drawing>
      </w:r>
    </w:p>
    <w:p w14:paraId="02AE82A9">
      <w:pPr>
        <w:rPr>
          <w:sz w:val="24"/>
          <w:szCs w:val="24"/>
        </w:rPr>
      </w:pPr>
      <w:r>
        <w:rPr>
          <w:rFonts w:ascii="微软雅黑" w:hAnsi="微软雅黑" w:eastAsia="微软雅黑" w:cs="微软雅黑"/>
          <w:i w:val="0"/>
          <w:iCs w:val="0"/>
          <w:caps w:val="0"/>
          <w:color w:val="333333"/>
          <w:spacing w:val="0"/>
          <w:sz w:val="16"/>
          <w:szCs w:val="16"/>
          <w:shd w:val="clear" w:fill="F7F7F7"/>
        </w:rPr>
        <w:t>李一迪，太原理工大学计算机科学与技术学院（大数据学院）副教授，硕士生导师，北京大学理学博士，日本大阪大学博士后。</w:t>
      </w:r>
      <w:bookmarkStart w:id="0" w:name="_GoBack"/>
      <w:r>
        <w:rPr>
          <w:rFonts w:ascii="微软雅黑" w:hAnsi="微软雅黑" w:eastAsia="微软雅黑" w:cs="微软雅黑"/>
          <w:i w:val="0"/>
          <w:iCs w:val="0"/>
          <w:caps w:val="0"/>
          <w:color w:val="333333"/>
          <w:spacing w:val="0"/>
          <w:sz w:val="16"/>
          <w:szCs w:val="16"/>
          <w:shd w:val="clear" w:fill="F7F7F7"/>
        </w:rPr>
        <w:t>主要从事计算机视觉、具身智能、多模态学习研究，聚焦于多模态具身感知与具身交互技术，旨在增强机器人对环境的鲁棒感知与自主决策能力。其研究工作在计算机视觉与计算机听觉交叉融合的关键领域中取得了显著的科研成果</w:t>
      </w:r>
      <w:bookmarkEnd w:id="0"/>
      <w:r>
        <w:rPr>
          <w:rFonts w:ascii="微软雅黑" w:hAnsi="微软雅黑" w:eastAsia="微软雅黑" w:cs="微软雅黑"/>
          <w:i w:val="0"/>
          <w:iCs w:val="0"/>
          <w:caps w:val="0"/>
          <w:color w:val="333333"/>
          <w:spacing w:val="0"/>
          <w:sz w:val="16"/>
          <w:szCs w:val="16"/>
          <w:shd w:val="clear" w:fill="F7F7F7"/>
        </w:rPr>
        <w:t>，近五年在人工智能领域国际顶级会议和SCI期刊上发表论文30余篇，其中以第一/通讯作者发表SCI一区TOP、CCF A类论文9篇。主持国家自然科学基金、山西省基础研究计划等科研课题5项，申请国家发明专利10余项。</w:t>
      </w:r>
      <w:r>
        <w:rPr>
          <w:rFonts w:hint="eastAsia" w:ascii="微软雅黑" w:hAnsi="微软雅黑" w:eastAsia="微软雅黑" w:cs="微软雅黑"/>
          <w:i w:val="0"/>
          <w:iCs w:val="0"/>
          <w:caps w:val="0"/>
          <w:color w:val="333333"/>
          <w:spacing w:val="0"/>
          <w:sz w:val="16"/>
          <w:szCs w:val="16"/>
          <w:shd w:val="clear" w:fill="F7F7F7"/>
        </w:rPr>
        <w:br w:type="textWrapping"/>
      </w:r>
      <w:r>
        <w:rPr>
          <w:rFonts w:hint="eastAsia" w:ascii="微软雅黑" w:hAnsi="微软雅黑" w:eastAsia="微软雅黑" w:cs="微软雅黑"/>
          <w:i w:val="0"/>
          <w:iCs w:val="0"/>
          <w:caps w:val="0"/>
          <w:color w:val="333333"/>
          <w:spacing w:val="0"/>
          <w:sz w:val="16"/>
          <w:szCs w:val="16"/>
          <w:shd w:val="clear" w:fill="F7F7F7"/>
        </w:rPr>
        <w:t>荣获国际计算机学会（ACM）颁发的“2023ACM新星奖（太原分会）”，指导2025亚洲人工智能技术大会Best Student Paper Award（最佳学生论文奖），获IEEE Outstanding Service Award（杰出服务奖），担任 2024 IEEE SWC 研讨会主席、2025 国际 Cyberworlds 大会宣传主席及 2024 中国物联网大会、2025 亚洲人工智能大会和 2025 国际智能计算大会分会主席、ICCRE2026特邀报告人，并长期担任多个计算机与人工智能领域SCI一区TOP期刊审稿人。</w:t>
      </w:r>
      <w:r>
        <w:rPr>
          <w:rFonts w:hint="eastAsia" w:ascii="微软雅黑" w:hAnsi="微软雅黑" w:eastAsia="微软雅黑" w:cs="微软雅黑"/>
          <w:i w:val="0"/>
          <w:iCs w:val="0"/>
          <w:caps w:val="0"/>
          <w:color w:val="333333"/>
          <w:spacing w:val="0"/>
          <w:sz w:val="16"/>
          <w:szCs w:val="16"/>
          <w:shd w:val="clear" w:fill="F7F7F7"/>
        </w:rPr>
        <w:br w:type="textWrapping"/>
      </w:r>
      <w:r>
        <w:rPr>
          <w:rFonts w:hint="eastAsia" w:ascii="微软雅黑" w:hAnsi="微软雅黑" w:eastAsia="微软雅黑" w:cs="微软雅黑"/>
          <w:i w:val="0"/>
          <w:iCs w:val="0"/>
          <w:caps w:val="0"/>
          <w:color w:val="333333"/>
          <w:spacing w:val="0"/>
          <w:sz w:val="16"/>
          <w:szCs w:val="16"/>
          <w:shd w:val="clear" w:fill="F7F7F7"/>
        </w:rPr>
        <w:t>主讲《人工智能》等专业必修课，参与省级教改项目2项，获批国家级大学生创新创业项目2项。指导学生参加A1类高水平学科竞赛获国家级奖项10余项，获全球校园人工智能算法精英大赛、全国三维数字化创新设计大赛、中国机器人及人工智能大赛“优秀指导教师”称号。担任多项国家级和省部级各级各类大学生竞赛专家评委。</w:t>
      </w:r>
      <w:r>
        <w:rPr>
          <w:rFonts w:hint="eastAsia" w:ascii="微软雅黑" w:hAnsi="微软雅黑" w:eastAsia="微软雅黑" w:cs="微软雅黑"/>
          <w:i w:val="0"/>
          <w:iCs w:val="0"/>
          <w:caps w:val="0"/>
          <w:color w:val="333333"/>
          <w:spacing w:val="0"/>
          <w:sz w:val="16"/>
          <w:szCs w:val="16"/>
          <w:shd w:val="clear" w:fill="F7F7F7"/>
        </w:rPr>
        <w:br w:type="textWrapping"/>
      </w:r>
      <w:r>
        <w:rPr>
          <w:rFonts w:hint="eastAsia" w:ascii="微软雅黑" w:hAnsi="微软雅黑" w:eastAsia="微软雅黑" w:cs="微软雅黑"/>
          <w:i w:val="0"/>
          <w:iCs w:val="0"/>
          <w:caps w:val="0"/>
          <w:color w:val="333333"/>
          <w:spacing w:val="0"/>
          <w:sz w:val="16"/>
          <w:szCs w:val="16"/>
          <w:shd w:val="clear" w:fill="F7F7F7"/>
        </w:rPr>
        <w:t>（更多研究动态与招生信息请访问个人主页：liyidi.github.io）</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0C4264"/>
    <w:rsid w:val="67C16124"/>
    <w:rsid w:val="6DAE54DA"/>
    <w:rsid w:val="75813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577</Words>
  <Characters>697</Characters>
  <Lines>0</Lines>
  <Paragraphs>0</Paragraphs>
  <TotalTime>21</TotalTime>
  <ScaleCrop>false</ScaleCrop>
  <LinksUpToDate>false</LinksUpToDate>
  <CharactersWithSpaces>716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2026-07-16T08:03:00Z</dcterms:created>
  <dc:creator>Administrator</dc:creator>
  <cp:lastModifiedBy>Hard liquor</cp:lastModifiedBy>
  <dcterms:modified xsi:type="dcterms:W3CDTF">2026-07-22T14:35:07Z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eyJoZGlkIjoiNTdkNGEyNjYwMzMxM2U1MTQ3YzQyNTQ4ZmI5NWVkMGMiLCJ1c2VySWQiOiIxMjU2NTE3NjA2In0=</vt:lpwstr>
  </property>
  <property fmtid="{D5CDD505-2E9C-101B-9397-08002B2CF9AE}" pid="4" name="ICV">
    <vt:lpwstr>5B0ABAB813714C5E955B444C83673EA3_12</vt:lpwstr>
  </property>
</Properties>
</file>