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Architecture &amp; Design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Technical design of the P3MAI Method Map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DOC-01 — Architecture &amp; Design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2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 · MSP 5th ed · SAFe 6.0 Essential)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Multi-framework update: MSP 5th ed and SAFe 6.0 Essential added as second and third live frameworks; config-driven type/code/lane/phase model; three-service front-door deployment topology.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Executive summary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an interactive web application that renders a project-, programme- or portfolio-management method as a navigable network graph. It now hosts </w:t>
      </w:r>
      <w:r>
        <w:rPr>
          <w:rFonts w:ascii="Segoe UI" w:hAnsi="Segoe UI" w:cs="Segoe UI"/>
          <w:b/>
          <w:i w:val="0"/>
          <w:color w:val="1C2B3A"/>
          <w:sz w:val="22"/>
        </w:rPr>
        <w:t>three frameworks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</w:t>
      </w:r>
      <w:r>
        <w:rPr>
          <w:rFonts w:ascii="Segoe UI" w:hAnsi="Segoe UI" w:cs="Segoe UI"/>
          <w:b/>
          <w:i w:val="0"/>
          <w:color w:val="1C2B3A"/>
          <w:sz w:val="22"/>
        </w:rPr>
        <w:t>PRINCE2 7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(7 processes, 41 activities), </w:t>
      </w:r>
      <w:r>
        <w:rPr>
          <w:rFonts w:ascii="Segoe UI" w:hAnsi="Segoe UI" w:cs="Segoe UI"/>
          <w:b/>
          <w:i w:val="0"/>
          <w:color w:val="1C2B3A"/>
          <w:sz w:val="22"/>
        </w:rPr>
        <w:t>MSP 5th edition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(7 programme processes) and </w:t>
      </w:r>
      <w:r>
        <w:rPr>
          <w:rFonts w:ascii="Segoe UI" w:hAnsi="Segoe UI" w:cs="Segoe UI"/>
          <w:b/>
          <w:i w:val="0"/>
          <w:color w:val="1C2B3A"/>
          <w:sz w:val="22"/>
        </w:rPr>
        <w:t>SAFe 6.0 Essential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Agile Release Train and Team events across the PI cadence) — each cross-referencing its management activities to the roles, artefacts, practices and principles that surround them.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It is built as a single-origin web application: a </w:t>
      </w:r>
      <w:r>
        <w:rPr>
          <w:rFonts w:ascii="Segoe UI" w:hAnsi="Segoe UI" w:cs="Segoe UI"/>
          <w:b/>
          <w:i w:val="0"/>
          <w:color w:val="1C2B3A"/>
          <w:sz w:val="22"/>
        </w:rPr>
        <w:t>FastAPI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backend serving a </w:t>
      </w:r>
      <w:r>
        <w:rPr>
          <w:rFonts w:ascii="Segoe UI" w:hAnsi="Segoe UI" w:cs="Segoe UI"/>
          <w:b/>
          <w:i w:val="0"/>
          <w:color w:val="1C2B3A"/>
          <w:sz w:val="22"/>
        </w:rPr>
        <w:t>React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single-page front end, backed by a </w:t>
      </w:r>
      <w:r>
        <w:rPr>
          <w:rFonts w:ascii="Segoe UI" w:hAnsi="Segoe UI" w:cs="Segoe UI"/>
          <w:b/>
          <w:i w:val="0"/>
          <w:color w:val="1C2B3A"/>
          <w:sz w:val="22"/>
        </w:rPr>
        <w:t>SQLite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database that auto-seeds from bundled data files. The data model is deliberately </w:t>
      </w:r>
      <w:r>
        <w:rPr>
          <w:rFonts w:ascii="Segoe UI" w:hAnsi="Segoe UI" w:cs="Segoe UI"/>
          <w:b/>
          <w:i w:val="0"/>
          <w:color w:val="1C2B3A"/>
          <w:sz w:val="22"/>
        </w:rPr>
        <w:t>framework-agnostic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each framework carries its own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(entity types, relationship codes, swimlanes and timeline phases), so a new method is added as a data file with </w:t>
      </w:r>
      <w:r>
        <w:rPr>
          <w:rFonts w:ascii="Segoe UI" w:hAnsi="Segoe UI" w:cs="Segoe UI"/>
          <w:b/>
          <w:i w:val="0"/>
          <w:color w:val="1C2B3A"/>
          <w:sz w:val="22"/>
        </w:rPr>
        <w:t>no code changes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This has now been proven across three structurally different frameworks. Each framework is deployed as its own Docker container on Render (selected by the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env var) and all three are served behind the shared front door </w:t>
      </w:r>
      <w:r>
        <w:rPr>
          <w:rFonts w:ascii="Segoe UI" w:hAnsi="Segoe UI" w:cs="Segoe UI"/>
          <w:b/>
          <w:i w:val="0"/>
          <w:color w:val="1C2B3A"/>
          <w:sz w:val="22"/>
        </w:rPr>
        <w:t>apps.p3mai.com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at </w:t>
      </w:r>
      <w:r>
        <w:rPr>
          <w:rFonts w:ascii="Consolas" w:hAnsi="Consolas" w:cs="Consolas"/>
          <w:b w:val="0"/>
          <w:i w:val="0"/>
          <w:color w:val="1B3F6E"/>
          <w:sz w:val="21"/>
        </w:rPr>
        <w:t>/prince2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/msp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/safe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This document describes the system architecture, data model, backend and front-end design, the graph and layout algorithms, security, deployment, and the key design decisions.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Introduction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2.1  Purpose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To provide the authoritative technical reference for the Method Map — enough for a developer to understand, maintain, extend and re-deploy the system.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2.2  Scope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Covers the application as built: backend, front end, data, deployment and security. Operational procedures are in the </w:t>
      </w:r>
      <w:r>
        <w:rPr>
          <w:rFonts w:ascii="Segoe UI" w:hAnsi="Segoe UI" w:cs="Segoe UI"/>
          <w:b/>
          <w:i w:val="0"/>
          <w:color w:val="1C2B3A"/>
          <w:sz w:val="22"/>
        </w:rPr>
        <w:t>Operation Manual (DOC-03)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end-user guidance is in the </w:t>
      </w:r>
      <w:r>
        <w:rPr>
          <w:rFonts w:ascii="Segoe UI" w:hAnsi="Segoe UI" w:cs="Segoe UI"/>
          <w:b/>
          <w:i w:val="0"/>
          <w:color w:val="1C2B3A"/>
          <w:sz w:val="22"/>
        </w:rPr>
        <w:t>User Manual (DOC-02)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2.3 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Developers and technical reviewers. Assumes familiarity with Python, JavaScript/React and containers, but not with the underlying methods themselves (see the glossary).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2.4 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typed node in the graph. Types are per-framework: PRINCE2 uses process/activity/role/practice/approach/product; SAFe uses event/activity/role/competency/artifact/principle.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 / hub / node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three structural kinds a type can play (set in config): container owns children, hub carries the coded relationships, node is a relationship target.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Relationship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coded edge from a hub (activity) to a target entity.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Code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framework-defined cross-reference mark, e.g. PRINCE2 C/P/N and I/O/U/A; SAFe F/A/P/I and I/C/U/R/E (see §6.3).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whole method (PRINCE2 7, MSP 5th ed, SAFe 6.0 Essential). All three run live, each as its own deployment.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door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 — a small reverse proxy routing /prince2, /msp, /safe (and the PMO apps) to their services.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SPA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 — the React front end.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System overview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Method Map turns the PRINCE2 cross-reference — normally a dense spreadsheet grid — into an explorable network. Users can: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explore the interdependencies as a graph in two fixed layouts (</w:t>
      </w:r>
      <w:r>
        <w:rPr>
          <w:rFonts w:ascii="Segoe UI" w:hAnsi="Segoe UI" w:cs="Segoe UI"/>
          <w:b/>
          <w:i w:val="0"/>
          <w:color w:val="1C2B3A"/>
          <w:sz w:val="22"/>
        </w:rPr>
        <w:t>Matrix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>);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walk the project </w:t>
      </w:r>
      <w:r>
        <w:rPr>
          <w:rFonts w:ascii="Segoe UI" w:hAnsi="Segoe UI" w:cs="Segoe UI"/>
          <w:b/>
          <w:i w:val="0"/>
          <w:color w:val="1C2B3A"/>
          <w:sz w:val="22"/>
        </w:rPr>
        <w:t>lifecycle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stage by stage and watch each stage's elements light up;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select any element to see every relationship it takes part in, with the standard codes;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export views as PNG, a branded PDF, or CSV/Excel; and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(for authorised editors) correct or extend the underlying data in place.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Layer</w:t>
            </w:r>
          </w:p>
        </w:tc>
        <w:tc>
          <w:tcPr>
            <w:tcW w:type="dxa" w:w="249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425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 framework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FastAPI (Python 3.12)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REST API and SPA host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ORM / DB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SQLAlchemy + SQLite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 (WAL + synchronous=NORMAL)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Validation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Pydantic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Request/response schemas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Server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uvicorn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ASGI server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Exports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openpyxl, reportlab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Excel/CSV and branded PDF generation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Front-end framework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 19 + Vite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react-force-graph-2d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Canvas network rendering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Routing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react-router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Client-side views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Packaging</w:t>
            </w:r>
          </w:p>
        </w:tc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Docker (multi-stage)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Single-image build &amp; deploy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(Docker web service)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 runtime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stack deliberately mirrors the sibling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app so the two share conventions, brand and deployment pattern.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Solution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application runs as a </w:t>
      </w:r>
      <w:r>
        <w:rPr>
          <w:rFonts w:ascii="Segoe UI" w:hAnsi="Segoe UI" w:cs="Segoe UI"/>
          <w:b/>
          <w:i w:val="0"/>
          <w:color w:val="1C2B3A"/>
          <w:sz w:val="22"/>
        </w:rPr>
        <w:t>single origin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in production the FastAPI backend serves the pre-built React bundle from </w:t>
      </w:r>
      <w:r>
        <w:rPr>
          <w:rFonts w:ascii="Consolas" w:hAnsi="Consolas" w:cs="Consolas"/>
          <w:b w:val="0"/>
          <w:i w:val="0"/>
          <w:color w:val="1B3F6E"/>
          <w:sz w:val="21"/>
        </w:rPr>
        <w:t>frontend/dist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the same process exposes the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routes. There is no separate API host, so there are no cross-origin concerns in production.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same image is deployed once per 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Each Render service sets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(which framework it seeds and serves) and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 URL prefix the SPA is built under, e.g. </w:t>
      </w:r>
      <w:r>
        <w:rPr>
          <w:rFonts w:ascii="Consolas" w:hAnsi="Consolas" w:cs="Consolas"/>
          <w:b w:val="0"/>
          <w:i w:val="0"/>
          <w:color w:val="1B3F6E"/>
          <w:sz w:val="21"/>
        </w:rPr>
        <w:t>/safe/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). A separate tiny Node reverse proxy — the </w:t>
      </w:r>
      <w:r>
        <w:rPr>
          <w:rFonts w:ascii="Segoe UI" w:hAnsi="Segoe UI" w:cs="Segoe UI"/>
          <w:b/>
          <w:i w:val="0"/>
          <w:color w:val="1C2B3A"/>
          <w:sz w:val="22"/>
        </w:rPr>
        <w:t>front door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apps.p3mai.com (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repo) — strips the leading slug and forwards </w:t>
      </w:r>
      <w:r>
        <w:rPr>
          <w:rFonts w:ascii="Consolas" w:hAnsi="Consolas" w:cs="Consolas"/>
          <w:b w:val="0"/>
          <w:i w:val="0"/>
          <w:color w:val="1B3F6E"/>
          <w:sz w:val="21"/>
        </w:rPr>
        <w:t>/prince2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/msp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/safe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their respective services, so all three (and the PMO apps) share one public domain.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00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00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Deployment architecture (single-origin Docker service on Render).</w:t>
      </w:r>
    </w:p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5.1 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606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FastAPI app (app/main.py)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Wires routers, CORS, first-boot seeding, and the SPA fallback.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Routers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meta, frameworks, entities, relationships — the REST surface.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builder (app/graph.py)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Turns stored entities/relationships into nodes + links for a view.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Serializers / CRUD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ORM ↔ Pydantic conversion and database operations.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Exports (app/exports.py)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CSV, XLSX and per-entity PDF generation.</w:t>
            </w:r>
          </w:p>
        </w:tc>
      </w:tr>
      <w:tr>
        <w:tc>
          <w:tcPr>
            <w:tcW w:type="dxa" w:w="272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Seed (app/seed.py)</w:t>
            </w:r>
          </w:p>
        </w:tc>
        <w:tc>
          <w:tcPr>
            <w:tcW w:type="dxa" w:w="606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Loads the bundled JSON into the database on first boot.</w:t>
            </w:r>
          </w:p>
        </w:tc>
      </w:tr>
      <w:tr>
        <w:tc>
          <w:tcPr>
            <w:tcW w:type="dxa" w:w="272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 SPA</w:t>
            </w:r>
          </w:p>
        </w:tc>
        <w:tc>
          <w:tcPr>
            <w:tcW w:type="dxa" w:w="606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Explorer, Lifecycle, Guide and Authoring views.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Single-origin, single-image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multi-stage Dockerfile builds the React bundle in a Node stage, then copies it into the Python image. One container serves both the API and the UI — nothing else to run.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Data model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model is framework-agnostic on purpose. A </w:t>
      </w:r>
      <w:r>
        <w:rPr>
          <w:rFonts w:ascii="Segoe UI" w:hAnsi="Segoe UI" w:cs="Segoe UI"/>
          <w:b/>
          <w:i w:val="0"/>
          <w:color w:val="1C2B3A"/>
          <w:sz w:val="22"/>
        </w:rPr>
        <w:t>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owns a set of </w:t>
      </w:r>
      <w:r>
        <w:rPr>
          <w:rFonts w:ascii="Segoe UI" w:hAnsi="Segoe UI" w:cs="Segoe UI"/>
          <w:b/>
          <w:i w:val="0"/>
          <w:color w:val="1C2B3A"/>
          <w:sz w:val="22"/>
        </w:rPr>
        <w:t>entities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</w:t>
      </w:r>
      <w:r>
        <w:rPr>
          <w:rFonts w:ascii="Segoe UI" w:hAnsi="Segoe UI" w:cs="Segoe UI"/>
          <w:b/>
          <w:i w:val="0"/>
          <w:color w:val="1C2B3A"/>
          <w:sz w:val="22"/>
        </w:rPr>
        <w:t>relationships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connect them. Adding MSP or SAFe means adding a data file — no schema change. Each framework row carries a </w:t>
      </w:r>
      <w:r>
        <w:rPr>
          <w:rFonts w:ascii="Segoe UI" w:hAnsi="Segoe UI" w:cs="Segoe UI"/>
          <w:b/>
          <w:i w:val="0"/>
          <w:color w:val="1C2B3A"/>
          <w:sz w:val="22"/>
        </w:rPr>
        <w:t>`config` 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that makes the whole app generic: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types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entity types in order, each with a </w:t>
      </w:r>
      <w:r>
        <w:rPr>
          <w:rFonts w:ascii="Consolas" w:hAnsi="Consolas" w:cs="Consolas"/>
          <w:b w:val="0"/>
          <w:i w:val="0"/>
          <w:color w:val="1B3F6E"/>
          <w:sz w:val="21"/>
        </w:rPr>
        <w:t>kind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(container / hub / node), a </w:t>
      </w:r>
      <w:r>
        <w:rPr>
          <w:rFonts w:ascii="Consolas" w:hAnsi="Consolas" w:cs="Consolas"/>
          <w:b w:val="0"/>
          <w:i w:val="0"/>
          <w:color w:val="1B3F6E"/>
          <w:sz w:val="21"/>
        </w:rPr>
        <w:t>zone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(where it sits in the Matrix), a colour and an optional </w:t>
      </w:r>
      <w:r>
        <w:rPr>
          <w:rFonts w:ascii="Consolas" w:hAnsi="Consolas" w:cs="Consolas"/>
          <w:b w:val="0"/>
          <w:i w:val="0"/>
          <w:color w:val="1B3F6E"/>
          <w:sz w:val="21"/>
        </w:rPr>
        <w:t>code_group</w:t>
      </w:r>
      <w:r>
        <w:rPr>
          <w:rFonts w:ascii="Segoe UI" w:hAnsi="Segoe UI" w:cs="Segoe UI"/>
          <w:b w:val="0"/>
          <w:i w:val="0"/>
          <w:color w:val="1C2B3A"/>
          <w:sz w:val="22"/>
        </w:rPr>
        <w:t>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codes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relationship-code vocabulary, grouped (e.g. a role group and a product/artefact group), so the legend and edge labels are framework-correct;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lanes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/ </w:t>
      </w:r>
      <w:r>
        <w:rPr>
          <w:rFonts w:ascii="Segoe UI" w:hAnsi="Segoe UI" w:cs="Segoe UI"/>
          <w:b/>
          <w:i w:val="0"/>
          <w:color w:val="1C2B3A"/>
          <w:sz w:val="22"/>
        </w:rPr>
        <w:t>phases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timeline swimlanes and the left→right lifecycle columns.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graph builder derives *which type is the container and which is the hub* from </w:t>
      </w:r>
      <w:r>
        <w:rPr>
          <w:rFonts w:ascii="Consolas" w:hAnsi="Consolas" w:cs="Consolas"/>
          <w:b w:val="0"/>
          <w:i w:val="0"/>
          <w:color w:val="1B3F6E"/>
          <w:sz w:val="21"/>
        </w:rPr>
        <w:t>kind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(not hardcoded names), and the front end derives colours, labels, layouts, legend and Guide content from the same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</w:t>
      </w:r>
      <w:r>
        <w:rPr>
          <w:rFonts w:ascii="Segoe UI" w:hAnsi="Segoe UI" w:cs="Segoe UI"/>
          <w:b w:val="0"/>
          <w:i w:val="0"/>
          <w:color w:val="1C2B3A"/>
          <w:sz w:val="22"/>
        </w:rPr>
        <w:t>. So PRINCE2 (</w:t>
      </w:r>
      <w:r>
        <w:rPr>
          <w:rFonts w:ascii="Consolas" w:hAnsi="Consolas" w:cs="Consolas"/>
          <w:b w:val="0"/>
          <w:i w:val="0"/>
          <w:color w:val="1B3F6E"/>
          <w:sz w:val="21"/>
        </w:rPr>
        <w:t>process → activity → role/…</w:t>
      </w:r>
      <w:r>
        <w:rPr>
          <w:rFonts w:ascii="Segoe UI" w:hAnsi="Segoe UI" w:cs="Segoe UI"/>
          <w:b w:val="0"/>
          <w:i w:val="0"/>
          <w:color w:val="1C2B3A"/>
          <w:sz w:val="22"/>
        </w:rPr>
        <w:t>) and SAFe (</w:t>
      </w:r>
      <w:r>
        <w:rPr>
          <w:rFonts w:ascii="Consolas" w:hAnsi="Consolas" w:cs="Consolas"/>
          <w:b w:val="0"/>
          <w:i w:val="0"/>
          <w:color w:val="1B3F6E"/>
          <w:sz w:val="21"/>
        </w:rPr>
        <w:t>event → activity → role/competency/artifact/principle</w:t>
      </w:r>
      <w:r>
        <w:rPr>
          <w:rFonts w:ascii="Segoe UI" w:hAnsi="Segoe UI" w:cs="Segoe UI"/>
          <w:b w:val="0"/>
          <w:i w:val="0"/>
          <w:color w:val="1C2B3A"/>
          <w:sz w:val="22"/>
        </w:rPr>
        <w:t>) run on identical code.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096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ata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2 — Data model: framework → entities → relationships, with per-framework config.</w:t>
      </w:r>
    </w:p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6.1 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686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type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key from the framework's config.types — e.g. process/activity/role/practice/approach/product (PRINCE2) or event/activity/role/competency/artifact/principle (SAFe)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name, code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Display name; short code (e.g. SU, DP; PIP, ITER) where one exists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parent_id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Hub (activity) → its owning container (process / event); null for everything else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subgroup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Optional secondary grouping (PRINCE2 products: baseline | log | report)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confidence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confirmed | indicative (the activity breakdown is a best-effort reconstruction)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lifecycle_level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swimlane, from config.lanes (PRINCE2 directing/managing/delivering; SAFe art/team)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lifecycle_phase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timeline column, from config.phases (a 'throughout' phase draws as a spanning bar)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sequence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Container's left→right order (SU=1 … CP=7; PREP=1 … Inspect &amp; Adapt=7)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sort_order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Stable ordering within a type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6.2  Relationships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Every relationship goes </w:t>
      </w:r>
      <w:r>
        <w:rPr>
          <w:rFonts w:ascii="Segoe UI" w:hAnsi="Segoe UI" w:cs="Segoe UI"/>
          <w:b/>
          <w:i w:val="0"/>
          <w:color w:val="1C2B3A"/>
          <w:sz w:val="22"/>
        </w:rPr>
        <w:t>from an activity to a target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(role/practice/approach/product) and carries a </w:t>
      </w:r>
      <w:r>
        <w:rPr>
          <w:rFonts w:ascii="Segoe UI" w:hAnsi="Segoe UI" w:cs="Segoe UI"/>
          <w:b/>
          <w:i w:val="0"/>
          <w:color w:val="1C2B3A"/>
          <w:sz w:val="22"/>
        </w:rPr>
        <w:t>code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a </w:t>
      </w:r>
      <w:r>
        <w:rPr>
          <w:rFonts w:ascii="Segoe UI" w:hAnsi="Segoe UI" w:cs="Segoe UI"/>
          <w:b/>
          <w:i w:val="0"/>
          <w:color w:val="1C2B3A"/>
          <w:sz w:val="22"/>
        </w:rPr>
        <w:t>confidence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Processes are not endpoints of relationships — they own activities through </w:t>
      </w:r>
      <w:r>
        <w:rPr>
          <w:rFonts w:ascii="Consolas" w:hAnsi="Consolas" w:cs="Consolas"/>
          <w:b w:val="0"/>
          <w:i w:val="0"/>
          <w:color w:val="1B3F6E"/>
          <w:sz w:val="21"/>
        </w:rPr>
        <w:t>parent_id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6.3  The codes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Codes are per-framework (from </w:t>
      </w:r>
      <w:r>
        <w:rPr>
          <w:rFonts w:ascii="Consolas" w:hAnsi="Consolas" w:cs="Consolas"/>
          <w:b w:val="0"/>
          <w:i w:val="0"/>
          <w:color w:val="1B3F6E"/>
          <w:sz w:val="21"/>
        </w:rPr>
        <w:t>config.codes</w:t>
      </w:r>
      <w:r>
        <w:rPr>
          <w:rFonts w:ascii="Segoe UI" w:hAnsi="Segoe UI" w:cs="Segoe UI"/>
          <w:b w:val="0"/>
          <w:i w:val="0"/>
          <w:color w:val="1C2B3A"/>
          <w:sz w:val="22"/>
        </w:rPr>
        <w:t>). PRINCE2: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8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Applies to</w:t>
            </w:r>
          </w:p>
        </w:tc>
        <w:tc>
          <w:tcPr>
            <w:tcW w:type="dxa" w:w="510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Codes</w:t>
            </w:r>
          </w:p>
        </w:tc>
      </w:tr>
      <w:tr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Roles, practices, management approaches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= Responsible · P = Participates · N = Assists</w:t>
            </w:r>
          </w:p>
        </w:tc>
      </w:tr>
      <w:tr>
        <w:tc>
          <w:tcPr>
            <w:tcW w:type="dxa" w:w="368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  <w:tc>
          <w:tcPr>
            <w:tcW w:type="dxa" w:w="510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O = Output · U = Update · A = Authorise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SAFe uses its own vocabulary — roles: </w:t>
      </w:r>
      <w:r>
        <w:rPr>
          <w:rFonts w:ascii="Segoe UI" w:hAnsi="Segoe UI" w:cs="Segoe UI"/>
          <w:b/>
          <w:i w:val="0"/>
          <w:color w:val="1C2B3A"/>
          <w:sz w:val="22"/>
        </w:rPr>
        <w:t>F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Facilitates · </w:t>
      </w:r>
      <w:r>
        <w:rPr>
          <w:rFonts w:ascii="Segoe UI" w:hAnsi="Segoe UI" w:cs="Segoe UI"/>
          <w:b/>
          <w:i w:val="0"/>
          <w:color w:val="1C2B3A"/>
          <w:sz w:val="22"/>
        </w:rPr>
        <w:t>A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Accountable · </w:t>
      </w:r>
      <w:r>
        <w:rPr>
          <w:rFonts w:ascii="Segoe UI" w:hAnsi="Segoe UI" w:cs="Segoe UI"/>
          <w:b/>
          <w:i w:val="0"/>
          <w:color w:val="1C2B3A"/>
          <w:sz w:val="22"/>
        </w:rPr>
        <w:t>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Participates · </w:t>
      </w:r>
      <w:r>
        <w:rPr>
          <w:rFonts w:ascii="Segoe UI" w:hAnsi="Segoe UI" w:cs="Segoe UI"/>
          <w:b/>
          <w:i w:val="0"/>
          <w:color w:val="1C2B3A"/>
          <w:sz w:val="22"/>
        </w:rPr>
        <w:t>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Informed; artefacts: </w:t>
      </w:r>
      <w:r>
        <w:rPr>
          <w:rFonts w:ascii="Segoe UI" w:hAnsi="Segoe UI" w:cs="Segoe UI"/>
          <w:b/>
          <w:i w:val="0"/>
          <w:color w:val="1C2B3A"/>
          <w:sz w:val="22"/>
        </w:rPr>
        <w:t>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Input · </w:t>
      </w:r>
      <w:r>
        <w:rPr>
          <w:rFonts w:ascii="Segoe UI" w:hAnsi="Segoe UI" w:cs="Segoe UI"/>
          <w:b/>
          <w:i w:val="0"/>
          <w:color w:val="1C2B3A"/>
          <w:sz w:val="22"/>
        </w:rPr>
        <w:t>C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Created · </w:t>
      </w:r>
      <w:r>
        <w:rPr>
          <w:rFonts w:ascii="Segoe UI" w:hAnsi="Segoe UI" w:cs="Segoe UI"/>
          <w:b/>
          <w:i w:val="0"/>
          <w:color w:val="1C2B3A"/>
          <w:sz w:val="22"/>
        </w:rPr>
        <w:t>U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Updated · </w:t>
      </w:r>
      <w:r>
        <w:rPr>
          <w:rFonts w:ascii="Segoe UI" w:hAnsi="Segoe UI" w:cs="Segoe UI"/>
          <w:b/>
          <w:i w:val="0"/>
          <w:color w:val="1C2B3A"/>
          <w:sz w:val="22"/>
        </w:rPr>
        <w:t>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Reviewed · </w:t>
      </w:r>
      <w:r>
        <w:rPr>
          <w:rFonts w:ascii="Segoe UI" w:hAnsi="Segoe UI" w:cs="Segoe UI"/>
          <w:b/>
          <w:i w:val="0"/>
          <w:color w:val="1C2B3A"/>
          <w:sz w:val="22"/>
        </w:rPr>
        <w:t>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Elaborated; competencies and principles each link with a single </w:t>
      </w:r>
      <w:r>
        <w:rPr>
          <w:rFonts w:ascii="Segoe UI" w:hAnsi="Segoe UI" w:cs="Segoe UI"/>
          <w:b/>
          <w:i w:val="0"/>
          <w:color w:val="1C2B3A"/>
          <w:sz w:val="22"/>
        </w:rPr>
        <w:t>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(Exercised / Embodies). MSP uses C/P/N for roles and themes and CO/CR/RF/RV/UP/IM for products. Unknown codes are auto-assigned a legend colour, so any framework's codes render correctly with no code change.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Why activity-centric?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Storing every relationship as activity→target keeps the data honest and small (one row per real cross-reference mark). All higher-level connections — role↔product, process↔practice — are derived from these at query time, so nothing is duplicated or can drift out of sync.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Backend design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7.1  API surface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7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Method &amp; path</w:t>
            </w:r>
          </w:p>
        </w:tc>
        <w:tc>
          <w:tcPr>
            <w:tcW w:type="dxa" w:w="391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/api/health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Liveness probe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/api/meta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types, code labels, subgroups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 /api/auth/verify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Check the admin password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frameworks + entity counts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/api/frameworks/{key}/entities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entities (filter by type/search)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/api/frameworks/{key}/relationships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 raw relationships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/api/frameworks/{key}/graph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 nodes + links for a view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/api/frameworks/{key}/lifecycle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Processes in sequence with activities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/api/entities/{id}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detail with grouped relationships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…/export.csv, /export.xlsx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Cross-reference data export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…/entities/{id}/report.pdf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Branded per-entity PDF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</w:t>
            </w:r>
          </w:p>
        </w:tc>
      </w:tr>
      <w:tr>
        <w:tc>
          <w:tcPr>
            <w:tcW w:type="dxa" w:w="317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POST/PUT/DELETE /api/entities</w:t>
            </w:r>
          </w:p>
        </w:tc>
        <w:tc>
          <w:tcPr>
            <w:tcW w:type="dxa" w:w="391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Create/edit/delete entities</w:t>
            </w:r>
          </w:p>
        </w:tc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</w:t>
            </w:r>
          </w:p>
        </w:tc>
      </w:tr>
      <w:tr>
        <w:tc>
          <w:tcPr>
            <w:tcW w:type="dxa" w:w="317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POST/PUT/DELETE /api/relationships</w:t>
            </w:r>
          </w:p>
        </w:tc>
        <w:tc>
          <w:tcPr>
            <w:tcW w:type="dxa" w:w="391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Create/edit/delete relationships</w:t>
            </w:r>
          </w:p>
        </w:tc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7.2  The graph builder</w:t>
      </w:r>
    </w:p>
    <w:p>
      <w:r>
        <w:rPr>
          <w:rFonts w:ascii="Consolas" w:hAnsi="Consolas" w:cs="Consolas"/>
          <w:b w:val="0"/>
          <w:i w:val="0"/>
          <w:color w:val="1B3F6E"/>
          <w:sz w:val="21"/>
        </w:rPr>
        <w:t>build_graph()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turns the stored data into the nodes and links a view needs, given the selected entity-type layers and whether indirect links are wanted. It emits three link kinds: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contains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process → activity (structural, when both layers are visible);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direct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activity → target, carrying the stored code (when the activity layer is visible);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derived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an undirected co-occurrence link between two non-activity entities that share an activity (a process counts as an implicit participant of its activities).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26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graph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3 — The three link kinds the graph builder produces.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>Derived links are what make the "hide Activities, show Roles↔Practices" view meaningful — the connection runs *through* the shared activities.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7.3  Node weighting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Each node carries two degree measures: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degree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total edges touching it in the current view (view-dependent); used by the force sizing historically;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direct_degree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count of real C/P/N/I/O/U/A relationships the entity takes part in, computed view-independently (for processes: how many activities they contain). This is the stable "direct responsibilities" measure that drives node size in the fixed layouts (sqrt scale, so area ∝ count).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7.4  Exports &amp; 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CSV/XLSX flatten the cross-reference (optionally focused on one entity); the PDF is a branded per-entity relationship summary via reportlab. Seeding loads every </w:t>
      </w:r>
      <w:r>
        <w:rPr>
          <w:rFonts w:ascii="Consolas" w:hAnsi="Consolas" w:cs="Consolas"/>
          <w:b w:val="0"/>
          <w:i w:val="0"/>
          <w:color w:val="1B3F6E"/>
          <w:sz w:val="21"/>
        </w:rPr>
        <w:t>*.json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file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app/seed_data/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on first boot; it is idempotent and skipped under tests.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Front-end design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8.1  Views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15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View</w:t>
            </w:r>
          </w:p>
        </w:tc>
        <w:tc>
          <w:tcPr>
            <w:tcW w:type="dxa" w:w="663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215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Method Explorer</w:t>
            </w:r>
          </w:p>
        </w:tc>
        <w:tc>
          <w:tcPr>
            <w:tcW w:type="dxa" w:w="663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network graph, in Matrix or Timeline layout, with layers/search/detail.</w:t>
            </w:r>
          </w:p>
        </w:tc>
      </w:tr>
      <w:tr>
        <w:tc>
          <w:tcPr>
            <w:tcW w:type="dxa" w:w="215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Lifecycle</w:t>
            </w:r>
          </w:p>
        </w:tc>
        <w:tc>
          <w:tcPr>
            <w:tcW w:type="dxa" w:w="663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canonical PRINCE2 process model as a swimlane; activities in sequence.</w:t>
            </w:r>
          </w:p>
        </w:tc>
      </w:tr>
      <w:tr>
        <w:tc>
          <w:tcPr>
            <w:tcW w:type="dxa" w:w="215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Guide</w:t>
            </w:r>
          </w:p>
        </w:tc>
        <w:tc>
          <w:tcPr>
            <w:tcW w:type="dxa" w:w="663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Plain-English explanation of the layers, codes and confidence flags.</w:t>
            </w:r>
          </w:p>
        </w:tc>
      </w:tr>
      <w:tr>
        <w:tc>
          <w:tcPr>
            <w:tcW w:type="dxa" w:w="215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Authoring &amp; Admin</w:t>
            </w:r>
          </w:p>
        </w:tc>
        <w:tc>
          <w:tcPr>
            <w:tcW w:type="dxa" w:w="663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Password-gated editing of entities and relationships.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8.2  The two layouts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Both layouts pin every node's position (</w:t>
      </w:r>
      <w:r>
        <w:rPr>
          <w:rFonts w:ascii="Consolas" w:hAnsi="Consolas" w:cs="Consolas"/>
          <w:b w:val="0"/>
          <w:i w:val="0"/>
          <w:color w:val="1B3F6E"/>
          <w:sz w:val="21"/>
        </w:rPr>
        <w:t>fx</w:t>
      </w:r>
      <w:r>
        <w:rPr>
          <w:rFonts w:ascii="Segoe UI" w:hAnsi="Segoe UI" w:cs="Segoe UI"/>
          <w:b w:val="0"/>
          <w:i w:val="0"/>
          <w:color w:val="1C2B3A"/>
          <w:sz w:val="22"/>
        </w:rPr>
        <w:t>/</w:t>
      </w:r>
      <w:r>
        <w:rPr>
          <w:rFonts w:ascii="Consolas" w:hAnsi="Consolas" w:cs="Consolas"/>
          <w:b w:val="0"/>
          <w:i w:val="0"/>
          <w:color w:val="1B3F6E"/>
          <w:sz w:val="21"/>
        </w:rPr>
        <w:t>fy</w:t>
      </w:r>
      <w:r>
        <w:rPr>
          <w:rFonts w:ascii="Segoe UI" w:hAnsi="Segoe UI" w:cs="Segoe UI"/>
          <w:b w:val="0"/>
          <w:i w:val="0"/>
          <w:color w:val="1C2B3A"/>
          <w:sz w:val="22"/>
        </w:rPr>
        <w:t>) so d3-force holds them in place; there is no free-floating physics option. Colour-coded zone labels are drawn behind the nodes.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Matrix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fixed hierarchy: processes across the top, activities stacked beneath, products in a band below; roles pinned left, practices right, management approaches along the bottom.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echoes the Lifecycle view: processes in three swimlanes (Directing / Managing / Delivering) laid left→right by sequence; activities in each process's time-column; roles/practices/approaches/products as static resource bands below. A scrubber walks the lifecycle, lighting up each stage's sub-graph (spotlight or cumulative), with a play button.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8.3  Interaction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Selecting a node enlarges it with a gold glow halo and highlights its neighbourhood; the detail panel lists every relationship. Hovering highlights a node's neighbours. Search flags matches. Deep links (</w:t>
      </w:r>
      <w:r>
        <w:rPr>
          <w:rFonts w:ascii="Consolas" w:hAnsi="Consolas" w:cs="Consolas"/>
          <w:b w:val="0"/>
          <w:i w:val="0"/>
          <w:color w:val="1B3F6E"/>
          <w:sz w:val="21"/>
        </w:rPr>
        <w:t>/?focus=&lt;id&gt;</w:t>
      </w:r>
      <w:r>
        <w:rPr>
          <w:rFonts w:ascii="Segoe UI" w:hAnsi="Segoe UI" w:cs="Segoe UI"/>
          <w:b w:val="0"/>
          <w:i w:val="0"/>
          <w:color w:val="1C2B3A"/>
          <w:sz w:val="22"/>
        </w:rPr>
        <w:t>) select a node on arrival — used by the Lifecycle view.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Data provenance &amp; 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Each framework is a bundled JSON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app/seed_data/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produced by a script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backend/scripts/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so an SME can regenerate and extend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Seed file</w:t>
            </w:r>
          </w:p>
        </w:tc>
        <w:tc>
          <w:tcPr>
            <w:tcW w:type="dxa" w:w="368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Built by</w:t>
            </w:r>
          </w:p>
        </w:tc>
        <w:tc>
          <w:tcPr>
            <w:tcW w:type="dxa" w:w="113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 7</w:t>
            </w:r>
          </w:p>
        </w:tc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prince2-7.json</w:t>
            </w:r>
          </w:p>
        </w:tc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extract_prince2.py (from the cross-reference spreadsheet; a CORRECTIONS list survives regeneration)</w:t>
            </w:r>
          </w:p>
        </w:tc>
        <w:tc>
          <w:tcPr>
            <w:tcW w:type="dxa" w:w="113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91 / 206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 5th ed</w:t>
            </w:r>
          </w:p>
        </w:tc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msp-5.json</w:t>
            </w:r>
          </w:p>
        </w:tc>
        <w:tc>
          <w:tcPr>
            <w:tcW w:type="dxa" w:w="368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build_msp.py (inline data)</w:t>
            </w:r>
          </w:p>
        </w:tc>
        <w:tc>
          <w:tcPr>
            <w:tcW w:type="dxa" w:w="113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67 / 172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 6.0 Essential</w:t>
            </w:r>
          </w:p>
        </w:tc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safe-essential.json</w:t>
            </w:r>
          </w:p>
        </w:tc>
        <w:tc>
          <w:tcPr>
            <w:tcW w:type="dxa" w:w="368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build_safe.py (inline data)</w:t>
            </w:r>
          </w:p>
        </w:tc>
        <w:tc>
          <w:tcPr>
            <w:tcW w:type="dxa" w:w="113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73 / 204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Indicative vs confirmed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Across all three frameworks, the framework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vocabulary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(process/event, role, practice/competency, product/artefact, principle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names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) is corroborated from public sources and marked *confirmed*. The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activity breakdown and every cross-reference mark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are a best-effort reconstruction, marked *indicative* (shown with a dashed ring). SME-verify against the licensed manual / body of knowledge before any formal use. SAFe® is a trademark of Scaled Agile, Inc.; the map is an independent reference tool, not affiliated with or endorsed by Scaled Agile, Inc.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Security &amp; access control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Read access is fully open — the app is a public reference tool with no personal data. Write operations (authoring) require a single shared password sent as an </w:t>
      </w:r>
      <w:r>
        <w:rPr>
          <w:rFonts w:ascii="Consolas" w:hAnsi="Consolas" w:cs="Consolas"/>
          <w:b w:val="0"/>
          <w:i w:val="0"/>
          <w:color w:val="1B3F6E"/>
          <w:sz w:val="21"/>
        </w:rPr>
        <w:t>X-Admin-Password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header and checked against the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environment variable. This is a deliberate, lightweight gate — enough to stop casual edits, not a full account system.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Security posture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No authentication for reads (by design). Single admin password for writes. Single origin, so no third-party data egress. Revisit if the app ever holds sensitive or personal data.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Deployment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Deployed via a Render </w:t>
      </w:r>
      <w:r>
        <w:rPr>
          <w:rFonts w:ascii="Segoe UI" w:hAnsi="Segoe UI" w:cs="Segoe UI"/>
          <w:b/>
          <w:i w:val="0"/>
          <w:color w:val="1C2B3A"/>
          <w:sz w:val="22"/>
        </w:rPr>
        <w:t>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that defines </w:t>
      </w:r>
      <w:r>
        <w:rPr>
          <w:rFonts w:ascii="Segoe UI" w:hAnsi="Segoe UI" w:cs="Segoe UI"/>
          <w:b/>
          <w:i w:val="0"/>
          <w:color w:val="1C2B3A"/>
          <w:sz w:val="22"/>
        </w:rPr>
        <w:t>one service per 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from the same Docker image — each a Starter-plan web service, Oregon region, health check </w:t>
      </w:r>
      <w:r>
        <w:rPr>
          <w:rFonts w:ascii="Consolas" w:hAnsi="Consolas" w:cs="Consolas"/>
          <w:b w:val="0"/>
          <w:i w:val="0"/>
          <w:color w:val="1B3F6E"/>
          <w:sz w:val="21"/>
        </w:rPr>
        <w:t>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a dashboard secret, differing only in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Pushing to the </w:t>
      </w:r>
      <w:r>
        <w:rPr>
          <w:rFonts w:ascii="Consolas" w:hAnsi="Consolas" w:cs="Consolas"/>
          <w:b w:val="0"/>
          <w:i w:val="0"/>
          <w:color w:val="1B3F6E"/>
          <w:sz w:val="21"/>
        </w:rPr>
        <w:t>main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branch auto-deploys. The database re-seeds on every boot, so a fresh or restarted container comes up populated.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136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APP_BASE</w:t>
            </w:r>
          </w:p>
        </w:tc>
        <w:tc>
          <w:tcPr>
            <w:tcW w:type="dxa" w:w="357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Front-door route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method-map</w:t>
            </w:r>
          </w:p>
        </w:tc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prince2-7</w:t>
            </w:r>
          </w:p>
        </w:tc>
        <w:tc>
          <w:tcPr>
            <w:tcW w:type="dxa" w:w="136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/prince2/</w:t>
            </w:r>
          </w:p>
        </w:tc>
        <w:tc>
          <w:tcPr>
            <w:tcW w:type="dxa" w:w="357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msp-method-map</w:t>
            </w:r>
          </w:p>
        </w:tc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msp-5</w:t>
            </w:r>
          </w:p>
        </w:tc>
        <w:tc>
          <w:tcPr>
            <w:tcW w:type="dxa" w:w="136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/msp/</w:t>
            </w:r>
          </w:p>
        </w:tc>
        <w:tc>
          <w:tcPr>
            <w:tcW w:type="dxa" w:w="357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apps.p3mai.com/msp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safe-method-map</w:t>
            </w:r>
          </w:p>
        </w:tc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safe-essential</w:t>
            </w:r>
          </w:p>
        </w:tc>
        <w:tc>
          <w:tcPr>
            <w:tcW w:type="dxa" w:w="136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/safe/</w:t>
            </w:r>
          </w:p>
        </w:tc>
        <w:tc>
          <w:tcPr>
            <w:tcW w:type="dxa" w:w="357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apps.p3mai.com/safe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github.com/DRC63/method-map (private); front door: github.com/DRC63/apps-gateway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Platform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— Docker web services, Starter, Oregon (one per framework)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door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 reverse proxy → /prince2, /msp, /safe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Auto-deploy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 push to main (adding a service needs a Blueprint sync + its ADMIN_PASSWORD)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— DB resets on redeploy; auto-seeds its FRAMEWORK_KEY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Ephemeral database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Render's disk is ephemeral, so authoring-mode edits do not survive a redeploy. Move to a persistent disk or Postgres before relying on in-app edits.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Key design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583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Config-driven, framework-agnostic model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PRINCE2, MSP and SAFe run on identical code; a new method is a data file (types/codes/lanes/phases in config), no code change.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image, one service per framework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FRAMEWORK_KEY + APP_BASE select each deployment; a shared front door gives all three one public domain.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Activity-centric relationships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row per real cross-reference mark; higher links derived, never duplicated.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Self-contained JSON seed + auto-seed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Deploy is independent of any source spreadsheet; ephemeral hosts self-populate.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Two fixed layouts (no physics)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Positional meaning (hierarchy / lifecycle) reads better than an organic blob.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direct_degree node weighting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Size reflects real responsibilities, stable across layer/derived toggles.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 admin password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Lightweight edit gate appropriate to an open, non-sensitive reference tool.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Non-functional considerations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Performance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dataset is small (~90 nodes); the graph renders on the client. SQLite runs WAL + synchronous=NORMAL. Locally the project sits under OneDrive, which adds a sync write latency that pragmas cannot remove — irrelevant in the deployed container.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Scalability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comfortably handles multiple frameworks; the graph endpoint is O(edges).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Portability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one Docker image; runs anywhere that runs containers.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Extensibility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MSP-ready model; new export formats and layouts slot into existing seams.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14.  Roadmap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Done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MSP 5th Edition (2nd framework) and SAFe 6.0 Essential (3rd) are live behind the front door.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SME-verify the MSP and SAFe activity breakdowns and cross-reference marks (currently indicative), via authoring mode or the builder scripts.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Extend SAFe beyond Essential (Portfolio / Large Solution levels) as a larger seed.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Persistent storage (disk or Postgres) so authoring edits survive redeploys.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Saved per-engagement </w:t>
      </w:r>
      <w:r>
        <w:rPr>
          <w:rFonts w:ascii="Segoe UI" w:hAnsi="Segoe UI" w:cs="Segoe UI"/>
          <w:b/>
          <w:i w:val="0"/>
          <w:color w:val="1C2B3A"/>
          <w:sz w:val="22"/>
        </w:rPr>
        <w:t>tailored views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(schema already anticipates this).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Optional user accounts if the tool ever holds sensitive data.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Repository layout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method-map/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backend/app/        FastAPI app (main, models, schemas, crud, graph,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                    serializers, exports, seed, security, routers/)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backend/app/seed_data/   prince2-7.json · msp-5.json · safe-essential.json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backend/scripts/    extract_prince2.py · build_msp.py · build_safe.py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frontend/src/       React app (pages/, components/, theme/, api/)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Dockerfile          multi-stage build (APP_BASE build arg)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render.yaml         Render Blueprint (one service per framework)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docs/               this documentation set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(front door: separate repo apps-gateway/ — Node reverse proxy)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v1.1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