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60"/>
        </w:rPr>
        <w:t>P3MAI</w:t>
      </w:r>
    </w:p>
    <w:p>
      <w:pPr>
        <w:jc w:val="center"/>
      </w:pPr>
      <w:r>
        <w:rPr>
          <w:rFonts w:ascii="Segoe UI Semibold" w:hAnsi="Segoe UI Semibold" w:cs="Segoe UI Semibold"/>
          <w:b/>
          <w:i w:val="0"/>
          <w:color w:val="A8841C"/>
          <w:sz w:val="28"/>
        </w:rPr>
        <w:t>METHOD MAP</w:t>
      </w:r>
    </w:p>
    <w:p/>
    <w:p>
      <w:pPr>
        <w:pBdr>
          <w:bottom w:val="single" w:sz="12" w:space="1" w:color="0B2545"/>
        </w:pBdr>
      </w:pPr>
    </w:p>
    <w:p>
      <w:pPr>
        <w:spacing w:before="480"/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52"/>
        </w:rPr>
        <w:t>Architecture &amp; Design</w:t>
      </w:r>
    </w:p>
    <w:p>
      <w:pPr>
        <w:jc w:val="center"/>
      </w:pPr>
      <w:r>
        <w:rPr>
          <w:rFonts w:ascii="Segoe UI" w:hAnsi="Segoe UI" w:cs="Segoe UI"/>
          <w:b w:val="0"/>
          <w:i w:val="0"/>
          <w:color w:val="5B6675"/>
          <w:sz w:val="26"/>
        </w:rPr>
        <w:t>Technical design of the P3MAI Method Map</w:t>
      </w:r>
    </w:p>
    <w:p/>
    <w:p>
      <w:pPr>
        <w:pBdr>
          <w:bottom w:val="single" w:sz="12" w:space="1" w:color="C9A227"/>
        </w:pBdr>
      </w:pP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Document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DOC-01 — Architecture &amp; Design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Version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v1.0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1 August 2026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Author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Douglas Colvin, P3MAI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Classification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OFFICIAL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Applies to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P3MAI Method Map (PRINCE2 7)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Author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Change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v1.0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2026-08-01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Douglas Colvin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Initial issue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rPr>
          <w:rFonts w:ascii="Segoe UI" w:hAnsi="Segoe UI" w:cs="Segoe UI"/>
          <w:b w:val="0"/>
          <w:i/>
          <w:color w:val="5B6675"/>
          <w:sz w:val="17"/>
        </w:rPr>
        <w:t>(If the contents list is blank, click it and press F9 to update.)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1.  Executive summary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</w:t>
      </w:r>
      <w:r>
        <w:rPr>
          <w:rFonts w:ascii="Segoe UI" w:hAnsi="Segoe UI" w:cs="Segoe UI"/>
          <w:b/>
          <w:i w:val="0"/>
          <w:color w:val="1C2B3A"/>
          <w:sz w:val="22"/>
        </w:rPr>
        <w:t>P3MAI Method Map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is an interactive web application that renders a project-management method as a navigable network graph. Version 1 covers </w:t>
      </w:r>
      <w:r>
        <w:rPr>
          <w:rFonts w:ascii="Segoe UI" w:hAnsi="Segoe UI" w:cs="Segoe UI"/>
          <w:b/>
          <w:i w:val="0"/>
          <w:color w:val="1C2B3A"/>
          <w:sz w:val="22"/>
        </w:rPr>
        <w:t>PRINCE2 7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its 7 processes and 41 activities cross-referenced to the management team roles, practices, management approaches and management products they use, produce and are governed by.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It is built as a single-origin web application: a </w:t>
      </w:r>
      <w:r>
        <w:rPr>
          <w:rFonts w:ascii="Segoe UI" w:hAnsi="Segoe UI" w:cs="Segoe UI"/>
          <w:b/>
          <w:i w:val="0"/>
          <w:color w:val="1C2B3A"/>
          <w:sz w:val="22"/>
        </w:rPr>
        <w:t>FastAPI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backend serving a </w:t>
      </w:r>
      <w:r>
        <w:rPr>
          <w:rFonts w:ascii="Segoe UI" w:hAnsi="Segoe UI" w:cs="Segoe UI"/>
          <w:b/>
          <w:i w:val="0"/>
          <w:color w:val="1C2B3A"/>
          <w:sz w:val="22"/>
        </w:rPr>
        <w:t>React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single-page front end, backed by a </w:t>
      </w:r>
      <w:r>
        <w:rPr>
          <w:rFonts w:ascii="Segoe UI" w:hAnsi="Segoe UI" w:cs="Segoe UI"/>
          <w:b/>
          <w:i w:val="0"/>
          <w:color w:val="1C2B3A"/>
          <w:sz w:val="22"/>
        </w:rPr>
        <w:t>SQLite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database that auto-seeds from a bundled data file. The data model is deliberately framework-agnostic, so MSP or any other method can be added as a data file without code changes. The application is deployed as a Docker container on Render and is reachable at </w:t>
      </w:r>
      <w:r>
        <w:rPr>
          <w:rFonts w:ascii="Segoe UI" w:hAnsi="Segoe UI" w:cs="Segoe UI"/>
          <w:b/>
          <w:i w:val="0"/>
          <w:color w:val="1C2B3A"/>
          <w:sz w:val="22"/>
        </w:rPr>
        <w:t>method-map.onrender.com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(custom domain </w:t>
      </w:r>
      <w:r>
        <w:rPr>
          <w:rFonts w:ascii="Segoe UI" w:hAnsi="Segoe UI" w:cs="Segoe UI"/>
          <w:b/>
          <w:i w:val="0"/>
          <w:color w:val="1C2B3A"/>
          <w:sz w:val="22"/>
        </w:rPr>
        <w:t>prince2.p3mai.com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pending DNS).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This document describes the system architecture, data model, backend and front-end design, the graph and layout algorithms, security, deployment, and the key design decisions.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2.  Introduction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2.1  Purpose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To provide the authoritative technical reference for the Method Map — enough for a developer to understand, maintain, extend and re-deploy the system.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2.2  Scope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Covers the application as built: backend, front end, data, deployment and security. Operational procedures are in the </w:t>
      </w:r>
      <w:r>
        <w:rPr>
          <w:rFonts w:ascii="Segoe UI" w:hAnsi="Segoe UI" w:cs="Segoe UI"/>
          <w:b/>
          <w:i w:val="0"/>
          <w:color w:val="1C2B3A"/>
          <w:sz w:val="22"/>
        </w:rPr>
        <w:t>Operation Manual (DOC-03)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; end-user guidance is in the </w:t>
      </w:r>
      <w:r>
        <w:rPr>
          <w:rFonts w:ascii="Segoe UI" w:hAnsi="Segoe UI" w:cs="Segoe UI"/>
          <w:b/>
          <w:i w:val="0"/>
          <w:color w:val="1C2B3A"/>
          <w:sz w:val="22"/>
        </w:rPr>
        <w:t>User Manual (DOC-02)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2.3  Audience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Developers and technical reviewers. Assumes familiarity with Python, JavaScript/React and containers, but not with the PRINCE2 method itself (see the glossary).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2.4 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7087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Entity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 typed node in the graph — a process, activity, role, practice, management approach or product.</w:t>
            </w:r>
          </w:p>
        </w:tc>
      </w:tr>
      <w:tr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Relationship</w:t>
            </w:r>
          </w:p>
        </w:tc>
        <w:tc>
          <w:tcPr>
            <w:tcW w:type="dxa" w:w="7087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 coded edge from an activity to a target entity.</w:t>
            </w:r>
          </w:p>
        </w:tc>
      </w:tr>
      <w:tr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Code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C/P/N for roles, practices and approaches; I/O/U/A for products (see §5.3).</w:t>
            </w:r>
          </w:p>
        </w:tc>
      </w:tr>
      <w:tr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Framework</w:t>
            </w:r>
          </w:p>
        </w:tc>
        <w:tc>
          <w:tcPr>
            <w:tcW w:type="dxa" w:w="7087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 whole method (e.g. PRINCE2 7). The model supports several side by side.</w:t>
            </w:r>
          </w:p>
        </w:tc>
      </w:tr>
      <w:tr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SPA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Single-page application — the React front end.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3.  System overview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The Method Map turns the PRINCE2 cross-reference — normally a dense spreadsheet grid — into an explorable network. Users can: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>explore the interdependencies as a graph in two fixed layouts (</w:t>
      </w:r>
      <w:r>
        <w:rPr>
          <w:rFonts w:ascii="Segoe UI" w:hAnsi="Segoe UI" w:cs="Segoe UI"/>
          <w:b/>
          <w:i w:val="0"/>
          <w:color w:val="1C2B3A"/>
          <w:sz w:val="22"/>
        </w:rPr>
        <w:t>Matrix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</w:t>
      </w:r>
      <w:r>
        <w:rPr>
          <w:rFonts w:ascii="Segoe UI" w:hAnsi="Segoe UI" w:cs="Segoe UI"/>
          <w:b/>
          <w:i w:val="0"/>
          <w:color w:val="1C2B3A"/>
          <w:sz w:val="22"/>
        </w:rPr>
        <w:t>Timeline</w:t>
      </w:r>
      <w:r>
        <w:rPr>
          <w:rFonts w:ascii="Segoe UI" w:hAnsi="Segoe UI" w:cs="Segoe UI"/>
          <w:b w:val="0"/>
          <w:i w:val="0"/>
          <w:color w:val="1C2B3A"/>
          <w:sz w:val="22"/>
        </w:rPr>
        <w:t>);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 xml:space="preserve">walk the project </w:t>
      </w:r>
      <w:r>
        <w:rPr>
          <w:rFonts w:ascii="Segoe UI" w:hAnsi="Segoe UI" w:cs="Segoe UI"/>
          <w:b/>
          <w:i w:val="0"/>
          <w:color w:val="1C2B3A"/>
          <w:sz w:val="22"/>
        </w:rPr>
        <w:t>lifecycle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stage by stage and watch each stage's elements light up;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>select any element to see every relationship it takes part in, with the standard codes;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>export views as PNG, a branded PDF, or CSV/Excel; and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>(for authorised editors) correct or extend the underlying data in place.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4. 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2494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4252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Backend framework</w:t>
            </w:r>
          </w:p>
        </w:tc>
        <w:tc>
          <w:tcPr>
            <w:tcW w:type="dxa" w:w="249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FastAPI (Python 3.12)</w:t>
            </w:r>
          </w:p>
        </w:tc>
        <w:tc>
          <w:tcPr>
            <w:tcW w:type="dxa" w:w="425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REST API and SPA host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ORM / DB</w:t>
            </w:r>
          </w:p>
        </w:tc>
        <w:tc>
          <w:tcPr>
            <w:tcW w:type="dxa" w:w="249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SQLAlchemy + SQLite</w:t>
            </w:r>
          </w:p>
        </w:tc>
        <w:tc>
          <w:tcPr>
            <w:tcW w:type="dxa" w:w="425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Persistence (WAL + synchronous=NORMAL)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Validation</w:t>
            </w:r>
          </w:p>
        </w:tc>
        <w:tc>
          <w:tcPr>
            <w:tcW w:type="dxa" w:w="249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Pydantic</w:t>
            </w:r>
          </w:p>
        </w:tc>
        <w:tc>
          <w:tcPr>
            <w:tcW w:type="dxa" w:w="425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Request/response schemas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Server</w:t>
            </w:r>
          </w:p>
        </w:tc>
        <w:tc>
          <w:tcPr>
            <w:tcW w:type="dxa" w:w="249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uvicorn</w:t>
            </w:r>
          </w:p>
        </w:tc>
        <w:tc>
          <w:tcPr>
            <w:tcW w:type="dxa" w:w="425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ASGI server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Exports</w:t>
            </w:r>
          </w:p>
        </w:tc>
        <w:tc>
          <w:tcPr>
            <w:tcW w:type="dxa" w:w="249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openpyxl, reportlab</w:t>
            </w:r>
          </w:p>
        </w:tc>
        <w:tc>
          <w:tcPr>
            <w:tcW w:type="dxa" w:w="425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Excel/CSV and branded PDF generation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Front-end framework</w:t>
            </w:r>
          </w:p>
        </w:tc>
        <w:tc>
          <w:tcPr>
            <w:tcW w:type="dxa" w:w="249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React 19 + Vite</w:t>
            </w:r>
          </w:p>
        </w:tc>
        <w:tc>
          <w:tcPr>
            <w:tcW w:type="dxa" w:w="425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Single-page application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Graph</w:t>
            </w:r>
          </w:p>
        </w:tc>
        <w:tc>
          <w:tcPr>
            <w:tcW w:type="dxa" w:w="249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react-force-graph-2d</w:t>
            </w:r>
          </w:p>
        </w:tc>
        <w:tc>
          <w:tcPr>
            <w:tcW w:type="dxa" w:w="425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Canvas network rendering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Routing</w:t>
            </w:r>
          </w:p>
        </w:tc>
        <w:tc>
          <w:tcPr>
            <w:tcW w:type="dxa" w:w="249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react-router</w:t>
            </w:r>
          </w:p>
        </w:tc>
        <w:tc>
          <w:tcPr>
            <w:tcW w:type="dxa" w:w="425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Client-side views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Packaging</w:t>
            </w:r>
          </w:p>
        </w:tc>
        <w:tc>
          <w:tcPr>
            <w:tcW w:type="dxa" w:w="249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Docker (multi-stage)</w:t>
            </w:r>
          </w:p>
        </w:tc>
        <w:tc>
          <w:tcPr>
            <w:tcW w:type="dxa" w:w="425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Single-image build &amp; deploy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Hosting</w:t>
            </w:r>
          </w:p>
        </w:tc>
        <w:tc>
          <w:tcPr>
            <w:tcW w:type="dxa" w:w="249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Render (Docker web service)</w:t>
            </w:r>
          </w:p>
        </w:tc>
        <w:tc>
          <w:tcPr>
            <w:tcW w:type="dxa" w:w="425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Production runtime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stack deliberately mirrors the sibling </w:t>
      </w:r>
      <w:r>
        <w:rPr>
          <w:rFonts w:ascii="Segoe UI" w:hAnsi="Segoe UI" w:cs="Segoe UI"/>
          <w:b/>
          <w:i w:val="0"/>
          <w:color w:val="1C2B3A"/>
          <w:sz w:val="22"/>
        </w:rPr>
        <w:t>PMO Service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app so the two share conventions, brand and deployment pattern.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5.  Solution architecture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application runs as a </w:t>
      </w:r>
      <w:r>
        <w:rPr>
          <w:rFonts w:ascii="Segoe UI" w:hAnsi="Segoe UI" w:cs="Segoe UI"/>
          <w:b/>
          <w:i w:val="0"/>
          <w:color w:val="1C2B3A"/>
          <w:sz w:val="22"/>
        </w:rPr>
        <w:t>single origin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: in production the FastAPI backend serves the pre-built React bundle from </w:t>
      </w:r>
      <w:r>
        <w:rPr>
          <w:rFonts w:ascii="Consolas" w:hAnsi="Consolas" w:cs="Consolas"/>
          <w:b w:val="0"/>
          <w:i w:val="0"/>
          <w:color w:val="1B3F6E"/>
          <w:sz w:val="21"/>
        </w:rPr>
        <w:t>frontend/dist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and the same process exposes the </w:t>
      </w:r>
      <w:r>
        <w:rPr>
          <w:rFonts w:ascii="Consolas" w:hAnsi="Consolas" w:cs="Consolas"/>
          <w:b w:val="0"/>
          <w:i w:val="0"/>
          <w:color w:val="1B3F6E"/>
          <w:sz w:val="21"/>
        </w:rPr>
        <w:t>/api/*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routes. There is no separate API host, so there are no cross-origin concerns in production.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00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 w:cs="Segoe UI"/>
          <w:b w:val="0"/>
          <w:i/>
          <w:color w:val="5B6675"/>
          <w:sz w:val="18"/>
        </w:rPr>
        <w:t>Figure 1 — Deployment architecture (single-origin Docker service on Render).</w:t>
      </w:r>
    </w:p>
    <w:p/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5.1 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6066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72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FastAPI app (app/main.py)</w:t>
            </w:r>
          </w:p>
        </w:tc>
        <w:tc>
          <w:tcPr>
            <w:tcW w:type="dxa" w:w="606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Wires routers, CORS, first-boot seeding, and the SPA fallback.</w:t>
            </w:r>
          </w:p>
        </w:tc>
      </w:tr>
      <w:tr>
        <w:tc>
          <w:tcPr>
            <w:tcW w:type="dxa" w:w="272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Routers</w:t>
            </w:r>
          </w:p>
        </w:tc>
        <w:tc>
          <w:tcPr>
            <w:tcW w:type="dxa" w:w="606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meta, frameworks, entities, relationships — the REST surface.</w:t>
            </w:r>
          </w:p>
        </w:tc>
      </w:tr>
      <w:tr>
        <w:tc>
          <w:tcPr>
            <w:tcW w:type="dxa" w:w="272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Graph builder (app/graph.py)</w:t>
            </w:r>
          </w:p>
        </w:tc>
        <w:tc>
          <w:tcPr>
            <w:tcW w:type="dxa" w:w="606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Turns stored entities/relationships into nodes + links for a view.</w:t>
            </w:r>
          </w:p>
        </w:tc>
      </w:tr>
      <w:tr>
        <w:tc>
          <w:tcPr>
            <w:tcW w:type="dxa" w:w="272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Serializers / CRUD</w:t>
            </w:r>
          </w:p>
        </w:tc>
        <w:tc>
          <w:tcPr>
            <w:tcW w:type="dxa" w:w="606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ORM ↔ Pydantic conversion and database operations.</w:t>
            </w:r>
          </w:p>
        </w:tc>
      </w:tr>
      <w:tr>
        <w:tc>
          <w:tcPr>
            <w:tcW w:type="dxa" w:w="272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Exports (app/exports.py)</w:t>
            </w:r>
          </w:p>
        </w:tc>
        <w:tc>
          <w:tcPr>
            <w:tcW w:type="dxa" w:w="606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CSV, XLSX and per-entity PDF generation.</w:t>
            </w:r>
          </w:p>
        </w:tc>
      </w:tr>
      <w:tr>
        <w:tc>
          <w:tcPr>
            <w:tcW w:type="dxa" w:w="272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Seed (app/seed.py)</w:t>
            </w:r>
          </w:p>
        </w:tc>
        <w:tc>
          <w:tcPr>
            <w:tcW w:type="dxa" w:w="606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Loads the bundled JSON into the database on first boot.</w:t>
            </w:r>
          </w:p>
        </w:tc>
      </w:tr>
      <w:tr>
        <w:tc>
          <w:tcPr>
            <w:tcW w:type="dxa" w:w="272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React SPA</w:t>
            </w:r>
          </w:p>
        </w:tc>
        <w:tc>
          <w:tcPr>
            <w:tcW w:type="dxa" w:w="606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Explorer, Lifecycle, Guide and Authoring views.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2FB"/>
            <w:tcBorders>
              <w:left w:val="single" w:sz="36" w:color="0B2545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0B2545"/>
                <w:sz w:val="21"/>
              </w:rPr>
              <w:t>🔒  Single-origin, single-image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The multi-stage Dockerfile builds the React bundle in a Node stage, then copies it into the Python image. One container serves both the API and the UI — nothing else to run.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6.  Data model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model is framework-agnostic on purpose. A </w:t>
      </w:r>
      <w:r>
        <w:rPr>
          <w:rFonts w:ascii="Segoe UI" w:hAnsi="Segoe UI" w:cs="Segoe UI"/>
          <w:b/>
          <w:i w:val="0"/>
          <w:color w:val="1C2B3A"/>
          <w:sz w:val="22"/>
        </w:rPr>
        <w:t>framework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owns a set of </w:t>
      </w:r>
      <w:r>
        <w:rPr>
          <w:rFonts w:ascii="Segoe UI" w:hAnsi="Segoe UI" w:cs="Segoe UI"/>
          <w:b/>
          <w:i w:val="0"/>
          <w:color w:val="1C2B3A"/>
          <w:sz w:val="22"/>
        </w:rPr>
        <w:t>entities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and </w:t>
      </w:r>
      <w:r>
        <w:rPr>
          <w:rFonts w:ascii="Segoe UI" w:hAnsi="Segoe UI" w:cs="Segoe UI"/>
          <w:b/>
          <w:i w:val="0"/>
          <w:color w:val="1C2B3A"/>
          <w:sz w:val="22"/>
        </w:rPr>
        <w:t>relationships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connect them. Adding MSP means adding a data file — no schema 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09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ata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 w:cs="Segoe UI"/>
          <w:b w:val="0"/>
          <w:i/>
          <w:color w:val="5B6675"/>
          <w:sz w:val="18"/>
        </w:rPr>
        <w:t>Figure 2 — Data model: framework → entities → relationships, with entity types and codes.</w:t>
      </w:r>
    </w:p>
    <w:p/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6.1 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860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type</w:t>
            </w:r>
          </w:p>
        </w:tc>
        <w:tc>
          <w:tcPr>
            <w:tcW w:type="dxa" w:w="686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process | activity | role | practice | approach | product</w:t>
            </w:r>
          </w:p>
        </w:tc>
      </w:tr>
      <w:tr>
        <w:tc>
          <w:tcPr>
            <w:tcW w:type="dxa" w:w="192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name, code</w:t>
            </w:r>
          </w:p>
        </w:tc>
        <w:tc>
          <w:tcPr>
            <w:tcW w:type="dxa" w:w="686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Display name; short code (e.g. SU, DP) where one exists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parent_id</w:t>
            </w:r>
          </w:p>
        </w:tc>
        <w:tc>
          <w:tcPr>
            <w:tcW w:type="dxa" w:w="686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Activity → its owning process (null for everything else)</w:t>
            </w:r>
          </w:p>
        </w:tc>
      </w:tr>
      <w:tr>
        <w:tc>
          <w:tcPr>
            <w:tcW w:type="dxa" w:w="192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subgroup</w:t>
            </w:r>
          </w:p>
        </w:tc>
        <w:tc>
          <w:tcPr>
            <w:tcW w:type="dxa" w:w="686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Products only: baseline | log | report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confidence</w:t>
            </w:r>
          </w:p>
        </w:tc>
        <w:tc>
          <w:tcPr>
            <w:tcW w:type="dxa" w:w="686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confirmed | indicative (activity-level data is a best-effort reconstruction)</w:t>
            </w:r>
          </w:p>
        </w:tc>
      </w:tr>
      <w:tr>
        <w:tc>
          <w:tcPr>
            <w:tcW w:type="dxa" w:w="192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lifecycle_level</w:t>
            </w:r>
          </w:p>
        </w:tc>
        <w:tc>
          <w:tcPr>
            <w:tcW w:type="dxa" w:w="686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Processes: directing | managing | delivering (swimlane)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lifecycle_phase</w:t>
            </w:r>
          </w:p>
        </w:tc>
        <w:tc>
          <w:tcPr>
            <w:tcW w:type="dxa" w:w="686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Processes: pre-project / initiation / delivery / stage-boundary / final / throughout</w:t>
            </w:r>
          </w:p>
        </w:tc>
      </w:tr>
      <w:tr>
        <w:tc>
          <w:tcPr>
            <w:tcW w:type="dxa" w:w="192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sequence</w:t>
            </w:r>
          </w:p>
        </w:tc>
        <w:tc>
          <w:tcPr>
            <w:tcW w:type="dxa" w:w="686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Processes: left→right lifecycle order (SU=1 … CP=7)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sort_order</w:t>
            </w:r>
          </w:p>
        </w:tc>
        <w:tc>
          <w:tcPr>
            <w:tcW w:type="dxa" w:w="686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Stable ordering within a type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6.2  Relationships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Every relationship goes </w:t>
      </w:r>
      <w:r>
        <w:rPr>
          <w:rFonts w:ascii="Segoe UI" w:hAnsi="Segoe UI" w:cs="Segoe UI"/>
          <w:b/>
          <w:i w:val="0"/>
          <w:color w:val="1C2B3A"/>
          <w:sz w:val="22"/>
        </w:rPr>
        <w:t>from an activity to a target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(role/practice/approach/product) and carries a </w:t>
      </w:r>
      <w:r>
        <w:rPr>
          <w:rFonts w:ascii="Segoe UI" w:hAnsi="Segoe UI" w:cs="Segoe UI"/>
          <w:b/>
          <w:i w:val="0"/>
          <w:color w:val="1C2B3A"/>
          <w:sz w:val="22"/>
        </w:rPr>
        <w:t>code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a </w:t>
      </w:r>
      <w:r>
        <w:rPr>
          <w:rFonts w:ascii="Segoe UI" w:hAnsi="Segoe UI" w:cs="Segoe UI"/>
          <w:b/>
          <w:i w:val="0"/>
          <w:color w:val="1C2B3A"/>
          <w:sz w:val="22"/>
        </w:rPr>
        <w:t>confidence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. Processes are not endpoints of relationships — they own activities through </w:t>
      </w:r>
      <w:r>
        <w:rPr>
          <w:rFonts w:ascii="Consolas" w:hAnsi="Consolas" w:cs="Consolas"/>
          <w:b w:val="0"/>
          <w:i w:val="0"/>
          <w:color w:val="1B3F6E"/>
          <w:sz w:val="21"/>
        </w:rPr>
        <w:t>parent_id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6.3  The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Applies to</w:t>
            </w:r>
          </w:p>
        </w:tc>
        <w:tc>
          <w:tcPr>
            <w:tcW w:type="dxa" w:w="5102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Codes</w:t>
            </w:r>
          </w:p>
        </w:tc>
      </w:tr>
      <w:tr>
        <w:tc>
          <w:tcPr>
            <w:tcW w:type="dxa" w:w="368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Roles, practices, management approaches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 = Responsible · P = Participates · N = Assists</w:t>
            </w:r>
          </w:p>
        </w:tc>
      </w:tr>
      <w:tr>
        <w:tc>
          <w:tcPr>
            <w:tcW w:type="dxa" w:w="368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Management products</w:t>
            </w:r>
          </w:p>
        </w:tc>
        <w:tc>
          <w:tcPr>
            <w:tcW w:type="dxa" w:w="510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I = Input · O = Output · U = Update · A = Authorise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FF9E0"/>
            <w:tcBorders>
              <w:left w:val="single" w:sz="36" w:color="A8841C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A8841C"/>
                <w:sz w:val="21"/>
              </w:rPr>
              <w:t>★  Why activity-centric?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Storing every relationship as activity→target keeps the data honest and small (one row per real cross-reference mark). All higher-level connections — role↔product, process↔practice — are derived from these at query time, so nothing is duplicated or can drift out of sync.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7.  Backend design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7.1 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75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Method &amp; path</w:t>
            </w:r>
          </w:p>
        </w:tc>
        <w:tc>
          <w:tcPr>
            <w:tcW w:type="dxa" w:w="3912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170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317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/api/health</w:t>
            </w:r>
          </w:p>
        </w:tc>
        <w:tc>
          <w:tcPr>
            <w:tcW w:type="dxa" w:w="391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Liveness probe</w:t>
            </w:r>
          </w:p>
        </w:tc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</w:t>
            </w:r>
          </w:p>
        </w:tc>
      </w:tr>
      <w:tr>
        <w:tc>
          <w:tcPr>
            <w:tcW w:type="dxa" w:w="317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/api/meta</w:t>
            </w:r>
          </w:p>
        </w:tc>
        <w:tc>
          <w:tcPr>
            <w:tcW w:type="dxa" w:w="391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Entity types, code labels, subgroups</w:t>
            </w:r>
          </w:p>
        </w:tc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</w:t>
            </w:r>
          </w:p>
        </w:tc>
      </w:tr>
      <w:tr>
        <w:tc>
          <w:tcPr>
            <w:tcW w:type="dxa" w:w="317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POST /api/auth/verify</w:t>
            </w:r>
          </w:p>
        </w:tc>
        <w:tc>
          <w:tcPr>
            <w:tcW w:type="dxa" w:w="391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Check the admin password</w:t>
            </w:r>
          </w:p>
        </w:tc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</w:t>
            </w:r>
          </w:p>
        </w:tc>
      </w:tr>
      <w:tr>
        <w:tc>
          <w:tcPr>
            <w:tcW w:type="dxa" w:w="317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/api/frameworks</w:t>
            </w:r>
          </w:p>
        </w:tc>
        <w:tc>
          <w:tcPr>
            <w:tcW w:type="dxa" w:w="391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List frameworks + entity counts</w:t>
            </w:r>
          </w:p>
        </w:tc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</w:t>
            </w:r>
          </w:p>
        </w:tc>
      </w:tr>
      <w:tr>
        <w:tc>
          <w:tcPr>
            <w:tcW w:type="dxa" w:w="317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/api/frameworks/{key}/entities</w:t>
            </w:r>
          </w:p>
        </w:tc>
        <w:tc>
          <w:tcPr>
            <w:tcW w:type="dxa" w:w="391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List entities (filter by type/search)</w:t>
            </w:r>
          </w:p>
        </w:tc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</w:t>
            </w:r>
          </w:p>
        </w:tc>
      </w:tr>
      <w:tr>
        <w:tc>
          <w:tcPr>
            <w:tcW w:type="dxa" w:w="317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/api/frameworks/{key}/relationships</w:t>
            </w:r>
          </w:p>
        </w:tc>
        <w:tc>
          <w:tcPr>
            <w:tcW w:type="dxa" w:w="391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List raw relationships</w:t>
            </w:r>
          </w:p>
        </w:tc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</w:t>
            </w:r>
          </w:p>
        </w:tc>
      </w:tr>
      <w:tr>
        <w:tc>
          <w:tcPr>
            <w:tcW w:type="dxa" w:w="317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/api/frameworks/{key}/graph</w:t>
            </w:r>
          </w:p>
        </w:tc>
        <w:tc>
          <w:tcPr>
            <w:tcW w:type="dxa" w:w="391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Build nodes + links for a view</w:t>
            </w:r>
          </w:p>
        </w:tc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</w:t>
            </w:r>
          </w:p>
        </w:tc>
      </w:tr>
      <w:tr>
        <w:tc>
          <w:tcPr>
            <w:tcW w:type="dxa" w:w="317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/api/frameworks/{key}/lifecycle</w:t>
            </w:r>
          </w:p>
        </w:tc>
        <w:tc>
          <w:tcPr>
            <w:tcW w:type="dxa" w:w="391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Processes in sequence with activities</w:t>
            </w:r>
          </w:p>
        </w:tc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</w:t>
            </w:r>
          </w:p>
        </w:tc>
      </w:tr>
      <w:tr>
        <w:tc>
          <w:tcPr>
            <w:tcW w:type="dxa" w:w="317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/api/entities/{id}</w:t>
            </w:r>
          </w:p>
        </w:tc>
        <w:tc>
          <w:tcPr>
            <w:tcW w:type="dxa" w:w="391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Entity detail with grouped relationships</w:t>
            </w:r>
          </w:p>
        </w:tc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</w:t>
            </w:r>
          </w:p>
        </w:tc>
      </w:tr>
      <w:tr>
        <w:tc>
          <w:tcPr>
            <w:tcW w:type="dxa" w:w="317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…/export.csv, /export.xlsx</w:t>
            </w:r>
          </w:p>
        </w:tc>
        <w:tc>
          <w:tcPr>
            <w:tcW w:type="dxa" w:w="391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Cross-reference data export</w:t>
            </w:r>
          </w:p>
        </w:tc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</w:t>
            </w:r>
          </w:p>
        </w:tc>
      </w:tr>
      <w:tr>
        <w:tc>
          <w:tcPr>
            <w:tcW w:type="dxa" w:w="317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…/entities/{id}/report.pdf</w:t>
            </w:r>
          </w:p>
        </w:tc>
        <w:tc>
          <w:tcPr>
            <w:tcW w:type="dxa" w:w="391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Branded per-entity PDF</w:t>
            </w:r>
          </w:p>
        </w:tc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</w:t>
            </w:r>
          </w:p>
        </w:tc>
      </w:tr>
      <w:tr>
        <w:tc>
          <w:tcPr>
            <w:tcW w:type="dxa" w:w="317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POST/PUT/DELETE /api/entities</w:t>
            </w:r>
          </w:p>
        </w:tc>
        <w:tc>
          <w:tcPr>
            <w:tcW w:type="dxa" w:w="391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Create/edit/delete entities</w:t>
            </w:r>
          </w:p>
        </w:tc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admin</w:t>
            </w:r>
          </w:p>
        </w:tc>
      </w:tr>
      <w:tr>
        <w:tc>
          <w:tcPr>
            <w:tcW w:type="dxa" w:w="317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POST/PUT/DELETE /api/relationships</w:t>
            </w:r>
          </w:p>
        </w:tc>
        <w:tc>
          <w:tcPr>
            <w:tcW w:type="dxa" w:w="391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Create/edit/delete relationships</w:t>
            </w:r>
          </w:p>
        </w:tc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admin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7.2  The graph builder</w:t>
      </w:r>
    </w:p>
    <w:p>
      <w:r>
        <w:rPr>
          <w:rFonts w:ascii="Consolas" w:hAnsi="Consolas" w:cs="Consolas"/>
          <w:b w:val="0"/>
          <w:i w:val="0"/>
          <w:color w:val="1B3F6E"/>
          <w:sz w:val="21"/>
        </w:rPr>
        <w:t>build_graph()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turns the stored data into the nodes and links a view needs, given the selected entity-type layers and whether indirect links are wanted. It emits three link kinds: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contains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process → activity (structural, when both layers are visible);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direct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activity → target, carrying the stored code (when the activity layer is visible);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derived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an undirected co-occurrence link between two non-activity entities that share an activity (a process counts as an implicit participant of its activities).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126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raph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 w:cs="Segoe UI"/>
          <w:b w:val="0"/>
          <w:i/>
          <w:color w:val="5B6675"/>
          <w:sz w:val="18"/>
        </w:rPr>
        <w:t>Figure 3 — The three link kinds the graph builder produces.</w:t>
      </w:r>
    </w:p>
    <w:p/>
    <w:p>
      <w:r>
        <w:rPr>
          <w:rFonts w:ascii="Segoe UI" w:hAnsi="Segoe UI" w:cs="Segoe UI"/>
          <w:b w:val="0"/>
          <w:i w:val="0"/>
          <w:color w:val="1C2B3A"/>
          <w:sz w:val="22"/>
        </w:rPr>
        <w:t>Derived links are what make the "hide Activities, show Roles↔Practices" view meaningful — the connection runs *through* the shared activities.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7.3  Node weighting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Each node carries two degree measures: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degree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total edges touching it in the current view (view-dependent); used by the force sizing historically;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direct_degree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the count of real C/P/N/I/O/U/A relationships the entity takes part in, computed view-independently (for processes: how many activities they contain). This is the stable "direct responsibilities" measure that drives node size in the fixed layouts (sqrt scale, so area ∝ count).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7.4  Exports &amp; seeding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CSV/XLSX flatten the cross-reference (optionally focused on one entity); the PDF is a branded per-entity relationship summary via reportlab. Seeding loads every </w:t>
      </w:r>
      <w:r>
        <w:rPr>
          <w:rFonts w:ascii="Consolas" w:hAnsi="Consolas" w:cs="Consolas"/>
          <w:b w:val="0"/>
          <w:i w:val="0"/>
          <w:color w:val="1B3F6E"/>
          <w:sz w:val="21"/>
        </w:rPr>
        <w:t>*.json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file in </w:t>
      </w:r>
      <w:r>
        <w:rPr>
          <w:rFonts w:ascii="Consolas" w:hAnsi="Consolas" w:cs="Consolas"/>
          <w:b w:val="0"/>
          <w:i w:val="0"/>
          <w:color w:val="1B3F6E"/>
          <w:sz w:val="21"/>
        </w:rPr>
        <w:t>app/seed_data/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on first boot; it is idempotent and skipped under tests.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8.  Front-end design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8.1 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54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View</w:t>
            </w:r>
          </w:p>
        </w:tc>
        <w:tc>
          <w:tcPr>
            <w:tcW w:type="dxa" w:w="6633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15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Method Explorer</w:t>
            </w:r>
          </w:p>
        </w:tc>
        <w:tc>
          <w:tcPr>
            <w:tcW w:type="dxa" w:w="663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network graph, in Matrix or Timeline layout, with layers/search/detail.</w:t>
            </w:r>
          </w:p>
        </w:tc>
      </w:tr>
      <w:tr>
        <w:tc>
          <w:tcPr>
            <w:tcW w:type="dxa" w:w="215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Project Lifecycle</w:t>
            </w:r>
          </w:p>
        </w:tc>
        <w:tc>
          <w:tcPr>
            <w:tcW w:type="dxa" w:w="663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canonical PRINCE2 process model as a swimlane; activities in sequence.</w:t>
            </w:r>
          </w:p>
        </w:tc>
      </w:tr>
      <w:tr>
        <w:tc>
          <w:tcPr>
            <w:tcW w:type="dxa" w:w="215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Guide</w:t>
            </w:r>
          </w:p>
        </w:tc>
        <w:tc>
          <w:tcPr>
            <w:tcW w:type="dxa" w:w="663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Plain-English explanation of the layers, codes and confidence flags.</w:t>
            </w:r>
          </w:p>
        </w:tc>
      </w:tr>
      <w:tr>
        <w:tc>
          <w:tcPr>
            <w:tcW w:type="dxa" w:w="215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Authoring &amp; Admin</w:t>
            </w:r>
          </w:p>
        </w:tc>
        <w:tc>
          <w:tcPr>
            <w:tcW w:type="dxa" w:w="663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Password-gated editing of entities and relationships.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8.2  The two layouts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Both layouts pin every node's position (</w:t>
      </w:r>
      <w:r>
        <w:rPr>
          <w:rFonts w:ascii="Consolas" w:hAnsi="Consolas" w:cs="Consolas"/>
          <w:b w:val="0"/>
          <w:i w:val="0"/>
          <w:color w:val="1B3F6E"/>
          <w:sz w:val="21"/>
        </w:rPr>
        <w:t>fx</w:t>
      </w:r>
      <w:r>
        <w:rPr>
          <w:rFonts w:ascii="Segoe UI" w:hAnsi="Segoe UI" w:cs="Segoe UI"/>
          <w:b w:val="0"/>
          <w:i w:val="0"/>
          <w:color w:val="1C2B3A"/>
          <w:sz w:val="22"/>
        </w:rPr>
        <w:t>/</w:t>
      </w:r>
      <w:r>
        <w:rPr>
          <w:rFonts w:ascii="Consolas" w:hAnsi="Consolas" w:cs="Consolas"/>
          <w:b w:val="0"/>
          <w:i w:val="0"/>
          <w:color w:val="1B3F6E"/>
          <w:sz w:val="21"/>
        </w:rPr>
        <w:t>fy</w:t>
      </w:r>
      <w:r>
        <w:rPr>
          <w:rFonts w:ascii="Segoe UI" w:hAnsi="Segoe UI" w:cs="Segoe UI"/>
          <w:b w:val="0"/>
          <w:i w:val="0"/>
          <w:color w:val="1C2B3A"/>
          <w:sz w:val="22"/>
        </w:rPr>
        <w:t>) so d3-force holds them in place; there is no free-floating physics option. Colour-coded zone labels are drawn behind the nodes.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Matrix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a fixed hierarchy: processes across the top, activities stacked beneath, products in a band below; roles pinned left, practices right, management approaches along the bottom.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Timeline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echoes the Lifecycle view: processes in three swimlanes (Directing / Managing / Delivering) laid left→right by sequence; activities in each process's time-column; roles/practices/approaches/products as static resource bands below. A scrubber walks the lifecycle, lighting up each stage's sub-graph (spotlight or cumulative), with a play button.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8.3  Interaction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Selecting a node enlarges it with a gold glow halo and highlights its neighbourhood; the detail panel lists every relationship. Hovering highlights a node's neighbours. Search flags matches. Deep links (</w:t>
      </w:r>
      <w:r>
        <w:rPr>
          <w:rFonts w:ascii="Consolas" w:hAnsi="Consolas" w:cs="Consolas"/>
          <w:b w:val="0"/>
          <w:i w:val="0"/>
          <w:color w:val="1B3F6E"/>
          <w:sz w:val="21"/>
        </w:rPr>
        <w:t>/?focus=&lt;id&gt;</w:t>
      </w:r>
      <w:r>
        <w:rPr>
          <w:rFonts w:ascii="Segoe UI" w:hAnsi="Segoe UI" w:cs="Segoe UI"/>
          <w:b w:val="0"/>
          <w:i w:val="0"/>
          <w:color w:val="1C2B3A"/>
          <w:sz w:val="22"/>
        </w:rPr>
        <w:t>) select a node on arrival — used by the Lifecycle view.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9.  Data provenance &amp; seeding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The PRINCE2 dataset (</w:t>
      </w:r>
      <w:r>
        <w:rPr>
          <w:rFonts w:ascii="Consolas" w:hAnsi="Consolas" w:cs="Consolas"/>
          <w:b w:val="0"/>
          <w:i w:val="0"/>
          <w:color w:val="1B3F6E"/>
          <w:sz w:val="21"/>
        </w:rPr>
        <w:t>app/seed_data/prince2-7.json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91 entities / 206 relationships) was generated from the PRINCE2/MSP cross-reference spreadsheet by </w:t>
      </w:r>
      <w:r>
        <w:rPr>
          <w:rFonts w:ascii="Consolas" w:hAnsi="Consolas" w:cs="Consolas"/>
          <w:b w:val="0"/>
          <w:i w:val="0"/>
          <w:color w:val="1B3F6E"/>
          <w:sz w:val="21"/>
        </w:rPr>
        <w:t>backend/scripts/extract_prince2.py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. Manual corrections not present in the source spreadsheet live in a </w:t>
      </w:r>
      <w:r>
        <w:rPr>
          <w:rFonts w:ascii="Consolas" w:hAnsi="Consolas" w:cs="Consolas"/>
          <w:b w:val="0"/>
          <w:i w:val="0"/>
          <w:color w:val="1B3F6E"/>
          <w:sz w:val="21"/>
        </w:rPr>
        <w:t>CORRECTIONS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list in that extractor, so they survive regeneration.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DEEEE"/>
            <w:tcBorders>
              <w:left w:val="single" w:sz="36" w:color="C0392B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C0392B"/>
                <w:sz w:val="21"/>
              </w:rPr>
              <w:t>⚠  Indicative vs confirmed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Process, role, practice, approach and product </w:t>
            </w:r>
            <w:r>
              <w:rPr>
                <w:rFonts w:ascii="Segoe UI" w:hAnsi="Segoe UI" w:cs="Segoe UI"/>
                <w:b/>
                <w:i w:val="0"/>
                <w:color w:val="1C2B3A"/>
                <w:sz w:val="20"/>
              </w:rPr>
              <w:t>names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are corroborated from public sources and marked *confirmed*. The 41 activities and their codes are a best-effort reconstruction (prince2.wiki, CC-BY 4.0) and are marked *indicative* (shown with a dashed ring). SME-verify against the licensed PRINCE2 manual before any formal use.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10.  Security &amp; access control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Read access is fully open — the app is a public reference tool with no personal data. Write operations (authoring) require a single shared password sent as an </w:t>
      </w:r>
      <w:r>
        <w:rPr>
          <w:rFonts w:ascii="Consolas" w:hAnsi="Consolas" w:cs="Consolas"/>
          <w:b w:val="0"/>
          <w:i w:val="0"/>
          <w:color w:val="1B3F6E"/>
          <w:sz w:val="21"/>
        </w:rPr>
        <w:t>X-Admin-Password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header and checked against the </w:t>
      </w:r>
      <w:r>
        <w:rPr>
          <w:rFonts w:ascii="Consolas" w:hAnsi="Consolas" w:cs="Consolas"/>
          <w:b w:val="0"/>
          <w:i w:val="0"/>
          <w:color w:val="1B3F6E"/>
          <w:sz w:val="21"/>
        </w:rPr>
        <w:t>ADMIN_PASSWORD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environment variable. This is a deliberate, lightweight gate — enough to stop casual edits, not a full account system.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2FB"/>
            <w:tcBorders>
              <w:left w:val="single" w:sz="36" w:color="0B2545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0B2545"/>
                <w:sz w:val="21"/>
              </w:rPr>
              <w:t>🔒  Security posture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No authentication for reads (by design). Single admin password for writes. Single origin, so no third-party data egress. Revisit if the app ever holds sensitive or personal data.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11.  Deployment architecture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Deployed via a Render </w:t>
      </w:r>
      <w:r>
        <w:rPr>
          <w:rFonts w:ascii="Segoe UI" w:hAnsi="Segoe UI" w:cs="Segoe UI"/>
          <w:b/>
          <w:i w:val="0"/>
          <w:color w:val="1C2B3A"/>
          <w:sz w:val="22"/>
        </w:rPr>
        <w:t>Blueprint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</w:t>
      </w:r>
      <w:r>
        <w:rPr>
          <w:rFonts w:ascii="Consolas" w:hAnsi="Consolas" w:cs="Consolas"/>
          <w:b w:val="0"/>
          <w:i w:val="0"/>
          <w:color w:val="1B3F6E"/>
          <w:sz w:val="21"/>
        </w:rPr>
        <w:t>render.yaml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): a Docker web service, Starter plan, Oregon region, health check </w:t>
      </w:r>
      <w:r>
        <w:rPr>
          <w:rFonts w:ascii="Consolas" w:hAnsi="Consolas" w:cs="Consolas"/>
          <w:b w:val="0"/>
          <w:i w:val="0"/>
          <w:color w:val="1B3F6E"/>
          <w:sz w:val="21"/>
        </w:rPr>
        <w:t>/api/health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</w:t>
      </w:r>
      <w:r>
        <w:rPr>
          <w:rFonts w:ascii="Consolas" w:hAnsi="Consolas" w:cs="Consolas"/>
          <w:b w:val="0"/>
          <w:i w:val="0"/>
          <w:color w:val="1B3F6E"/>
          <w:sz w:val="21"/>
        </w:rPr>
        <w:t>ADMIN_PASSWORD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as a dashboard secret. Pushing to the </w:t>
      </w:r>
      <w:r>
        <w:rPr>
          <w:rFonts w:ascii="Consolas" w:hAnsi="Consolas" w:cs="Consolas"/>
          <w:b w:val="0"/>
          <w:i w:val="0"/>
          <w:color w:val="1B3F6E"/>
          <w:sz w:val="21"/>
        </w:rPr>
        <w:t>main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branch of the GitHub repo auto-deploys. The database re-seeds on every boot, so a fresh or restarted container comes up populated.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Aspect</w:t>
            </w:r>
          </w:p>
        </w:tc>
        <w:tc>
          <w:tcPr>
            <w:tcW w:type="dxa" w:w="6746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Repository</w:t>
            </w:r>
          </w:p>
        </w:tc>
        <w:tc>
          <w:tcPr>
            <w:tcW w:type="dxa" w:w="674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github.com/DRC63/method-map (private)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Platform</w:t>
            </w:r>
          </w:p>
        </w:tc>
        <w:tc>
          <w:tcPr>
            <w:tcW w:type="dxa" w:w="674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Render — Docker web service, Starter, Oregon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URL</w:t>
            </w:r>
          </w:p>
        </w:tc>
        <w:tc>
          <w:tcPr>
            <w:tcW w:type="dxa" w:w="674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method-map.onrender.com (prince2.p3mai.com pending DNS)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Auto-deploy</w:t>
            </w:r>
          </w:p>
        </w:tc>
        <w:tc>
          <w:tcPr>
            <w:tcW w:type="dxa" w:w="674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On push to main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Persistence</w:t>
            </w:r>
          </w:p>
        </w:tc>
        <w:tc>
          <w:tcPr>
            <w:tcW w:type="dxa" w:w="674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Ephemeral disk — DB resets on redeploy; auto-seeds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DEEEE"/>
            <w:tcBorders>
              <w:left w:val="single" w:sz="36" w:color="C0392B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C0392B"/>
                <w:sz w:val="21"/>
              </w:rPr>
              <w:t>⚠  Ephemeral database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Render's disk is ephemeral, so authoring-mode edits do not survive a redeploy. Move to a persistent disk or Postgres before relying on in-app edits.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12.  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Decision</w:t>
            </w:r>
          </w:p>
        </w:tc>
        <w:tc>
          <w:tcPr>
            <w:tcW w:type="dxa" w:w="5839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94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Framework-agnostic data model</w:t>
            </w:r>
          </w:p>
        </w:tc>
        <w:tc>
          <w:tcPr>
            <w:tcW w:type="dxa" w:w="583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MSP and other methods drop in as data files, no code change.</w:t>
            </w:r>
          </w:p>
        </w:tc>
      </w:tr>
      <w:tr>
        <w:tc>
          <w:tcPr>
            <w:tcW w:type="dxa" w:w="294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Activity-centric relationships</w:t>
            </w:r>
          </w:p>
        </w:tc>
        <w:tc>
          <w:tcPr>
            <w:tcW w:type="dxa" w:w="583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One row per real cross-reference mark; higher links derived, never duplicated.</w:t>
            </w:r>
          </w:p>
        </w:tc>
      </w:tr>
      <w:tr>
        <w:tc>
          <w:tcPr>
            <w:tcW w:type="dxa" w:w="294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Self-contained JSON seed + auto-seed</w:t>
            </w:r>
          </w:p>
        </w:tc>
        <w:tc>
          <w:tcPr>
            <w:tcW w:type="dxa" w:w="583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Deploy is independent of the source spreadsheet; ephemeral hosts self-populate.</w:t>
            </w:r>
          </w:p>
        </w:tc>
      </w:tr>
      <w:tr>
        <w:tc>
          <w:tcPr>
            <w:tcW w:type="dxa" w:w="294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Two fixed layouts (no physics)</w:t>
            </w:r>
          </w:p>
        </w:tc>
        <w:tc>
          <w:tcPr>
            <w:tcW w:type="dxa" w:w="583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Positional meaning (hierarchy / lifecycle) reads better than an organic blob.</w:t>
            </w:r>
          </w:p>
        </w:tc>
      </w:tr>
      <w:tr>
        <w:tc>
          <w:tcPr>
            <w:tcW w:type="dxa" w:w="294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direct_degree node weighting</w:t>
            </w:r>
          </w:p>
        </w:tc>
        <w:tc>
          <w:tcPr>
            <w:tcW w:type="dxa" w:w="583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Size reflects real responsibilities, stable across layer/derived toggles.</w:t>
            </w:r>
          </w:p>
        </w:tc>
      </w:tr>
      <w:tr>
        <w:tc>
          <w:tcPr>
            <w:tcW w:type="dxa" w:w="294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Single admin password</w:t>
            </w:r>
          </w:p>
        </w:tc>
        <w:tc>
          <w:tcPr>
            <w:tcW w:type="dxa" w:w="583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Lightweight edit gate appropriate to an open, non-sensitive reference tool.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13.  Non-functional considerations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Performance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the dataset is small (~90 nodes); the graph renders on the client. SQLite runs WAL + synchronous=NORMAL. Locally the project sits under OneDrive, which adds a sync write latency that pragmas cannot remove — irrelevant in the deployed container.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Scalability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comfortably handles multiple frameworks; the graph endpoint is O(edges).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Portability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one Docker image; runs anywhere that runs containers.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Extensibility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MSP-ready model; new export formats and layouts slot into existing seams.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14.  Roadmap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 xml:space="preserve">Populate and enable </w:t>
      </w:r>
      <w:r>
        <w:rPr>
          <w:rFonts w:ascii="Segoe UI" w:hAnsi="Segoe UI" w:cs="Segoe UI"/>
          <w:b/>
          <w:i w:val="0"/>
          <w:color w:val="1C2B3A"/>
          <w:sz w:val="22"/>
        </w:rPr>
        <w:t>MSP 5th Edition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as a second framework.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>Persistent storage (disk or Postgres) so authoring edits survive redeploys.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 xml:space="preserve">Saved per-engagement </w:t>
      </w:r>
      <w:r>
        <w:rPr>
          <w:rFonts w:ascii="Segoe UI" w:hAnsi="Segoe UI" w:cs="Segoe UI"/>
          <w:b/>
          <w:i w:val="0"/>
          <w:color w:val="1C2B3A"/>
          <w:sz w:val="22"/>
        </w:rPr>
        <w:t>tailored views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(schema already anticipates this).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>Optional user accounts if the tool ever holds sensitive data.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Appendix A — Repository layout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6F8"/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method-map/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backend/app/        FastAPI app (main, models, schemas, crud, graph,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                    serializers, exports, seed, security, routers/)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backend/app/seed_data/prince2-7.json   bundled dataset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backend/scripts/extract_prince2.py     spreadsheet → seed extractor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frontend/src/       React app (pages/, components/, theme/, api/)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Dockerfile          multi-stage build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render.yaml         Render Blueprint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docs/               this documentation set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pos="9412" w:val="right"/>
      </w:tabs>
    </w:pPr>
    <w:r/>
    <w:r>
      <w:rPr>
        <w:rFonts w:ascii="Segoe UI" w:hAnsi="Segoe UI" w:cs="Segoe UI"/>
        <w:b w:val="0"/>
        <w:i w:val="0"/>
        <w:color w:val="5B6675"/>
        <w:sz w:val="16"/>
      </w:rPr>
      <w:t>P3MAI Method Map</w:t>
    </w:r>
    <w:r>
      <w:rPr>
        <w:rFonts w:ascii="Segoe UI" w:hAnsi="Segoe UI" w:cs="Segoe UI"/>
        <w:b w:val="0"/>
        <w:i w:val="0"/>
        <w:color w:val="5B6675"/>
        <w:sz w:val="16"/>
      </w:rPr>
      <w:tab/>
      <w:t>v1.0</w:t>
      <w:tab/>
    </w:r>
    <w:r>
      <w:rPr>
        <w:rFonts w:ascii="Segoe UI" w:hAnsi="Segoe UI" w:cs="Segoe UI"/>
        <w:b w:val="0"/>
        <w:i w:val="0"/>
        <w:color w:val="5B6675"/>
        <w:sz w:val="16"/>
      </w:rPr>
      <w:t xml:space="preserve">Page </w:t>
    </w:r>
    <w:r>
      <w:rPr>
        <w:rFonts w:ascii="Segoe UI" w:hAnsi="Segoe UI" w:cs="Segoe UI"/>
        <w:b w:val="0"/>
        <w:i w:val="0"/>
        <w:color w:val="5B6675"/>
        <w:sz w:val="16"/>
      </w:rPr>
      <w:fldChar w:fldCharType="begin"/>
      <w:instrText xml:space="preserve">PAGE</w:instrText>
      <w:fldChar w:fldCharType="separate"/>
      <w:t/>
      <w:fldChar w:fldCharType="end"/>
    </w:r>
    <w:r>
      <w:rPr>
        <w:rFonts w:ascii="Segoe UI" w:hAnsi="Segoe UI" w:cs="Segoe UI"/>
        <w:b w:val="0"/>
        <w:i w:val="0"/>
        <w:color w:val="5B6675"/>
        <w:sz w:val="16"/>
      </w:rPr>
      <w:t xml:space="preserve">   </w:t>
    </w:r>
    <w:r>
      <w:rPr>
        <w:rFonts w:ascii="Segoe UI" w:hAnsi="Segoe UI" w:cs="Segoe UI"/>
        <w:b/>
        <w:i w:val="0"/>
        <w:color w:val="A8841C"/>
        <w:sz w:val="16"/>
      </w:rPr>
      <w:t>| OFFICIAL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/>
      <w:color w:val="1C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