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BUSINESS WEBSITE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Architecture &amp; Design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Structure &amp; design of the P3MAI website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DOC-01 — Architecture &amp; Design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v2.0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6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Website (p3mai.com)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v2.0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2026-08-06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Copy overhaul + service pages + articles + services estimator + contact mail pipeline + apps front door; site is 12 pages + one PHP endpoint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Executive summary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P3MAI website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the public business site for P3MAI (Douglas Colvin's program, project and PMO consultancy). It is a </w:t>
      </w:r>
      <w:r>
        <w:rPr>
          <w:rFonts w:ascii="Segoe UI" w:hAnsi="Segoe UI" w:cs="Segoe UI"/>
          <w:b/>
          <w:i w:val="0"/>
          <w:color w:val="1C2B3A"/>
          <w:sz w:val="22"/>
        </w:rPr>
        <w:t>hand-built site with no framework and no build step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twelve HTML pages, two standalone estimators, one shared stylesheet and script, and exactly one piece of server-side code: </w:t>
      </w:r>
      <w:r>
        <w:rPr>
          <w:rFonts w:ascii="Consolas" w:hAnsi="Consolas" w:cs="Consolas"/>
          <w:b w:val="0"/>
          <w:i w:val="0"/>
          <w:color w:val="1B3F6E"/>
          <w:sz w:val="21"/>
        </w:rPr>
        <w:t>contact.php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which emails enquiries to the domain mailbox. It carries the P3MAI brand (navy/gold, Poppins, pyramid logo, two-tone P3M+AI wordmark), presents a Board-level positioning (“AI-Enabled · Sovereign · Safe · Proven”), and links to six live P3MAI web apps through the </w:t>
      </w:r>
      <w:r>
        <w:rPr>
          <w:rFonts w:ascii="Segoe UI" w:hAnsi="Segoe UI" w:cs="Segoe UI"/>
          <w:b/>
          <w:i w:val="0"/>
          <w:color w:val="1C2B3A"/>
          <w:sz w:val="22"/>
        </w:rPr>
        <w:t>apps.p3mai.com front door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Hosted on </w:t>
      </w:r>
      <w:r>
        <w:rPr>
          <w:rFonts w:ascii="Segoe UI" w:hAnsi="Segoe UI" w:cs="Segoe UI"/>
          <w:b/>
          <w:i w:val="0"/>
          <w:color w:val="1C2B3A"/>
          <w:sz w:val="22"/>
        </w:rPr>
        <w:t>Rise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at </w:t>
      </w:r>
      <w:r>
        <w:rPr>
          <w:rFonts w:ascii="Segoe UI" w:hAnsi="Segoe UI" w:cs="Segoe UI"/>
          <w:b/>
          <w:i w:val="0"/>
          <w:color w:val="1C2B3A"/>
          <w:sz w:val="22"/>
        </w:rPr>
        <w:t>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Introduction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2.1  Purpose &amp; scope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design and structure reference for the website. Visitor-facing guidance is in </w:t>
      </w:r>
      <w:r>
        <w:rPr>
          <w:rFonts w:ascii="Segoe UI" w:hAnsi="Segoe UI" w:cs="Segoe UI"/>
          <w:b/>
          <w:i w:val="0"/>
          <w:color w:val="1C2B3A"/>
          <w:sz w:val="22"/>
        </w:rPr>
        <w:t>DOC-02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maintenance and publishing in </w:t>
      </w:r>
      <w:r>
        <w:rPr>
          <w:rFonts w:ascii="Segoe UI" w:hAnsi="Segoe UI" w:cs="Segoe UI"/>
          <w:b/>
          <w:i w:val="0"/>
          <w:color w:val="1C2B3A"/>
          <w:sz w:val="22"/>
        </w:rPr>
        <w:t>DOC-03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2.2  Audience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Whoever maintains the site — comfortable editing HTML/CSS/JS and one small PHP file.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Site overview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Twelve linked pages plus two standalone estimators, all sharing one header/footer shell: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it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1 — Site map.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583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index.html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Home — problem-led hero + capability strap, named-client strip, story section, track record, engagement ladder, dual CTA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about.html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Breadth-first bio, six-milestone career timeline, sovereign-and-safe credentials, certifications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services.html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Three service cards (who-for lines, Service Details links, six app buttons), estimator CTA, comparison table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program-management.html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Service detail: triggers, method, Core42 supercomputers case study, ladder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project-management.html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Service detail: triggers, method, ENBD fraud case study, ladder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pmo-services.html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Service detail: triggers, method, Core42 Responsible-AI-PMO + Emirates/dnata case studies, ladder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blog.html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Four posts, each linking to a full article page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building-web-apps-with-claude.html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Article: the site/apps built with Claude — the case study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ai-programs-need-a-pmo.html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Article: day-one governance for AI programs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scaling-ai-infrastructure.html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Article: TOP500-scale delivery discipline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agentic-ai-in-the-pmo.html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Article: agents do assembly, humans do judgment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contact.html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Validated form (posts to contact.php), details, map</w:t>
            </w:r>
          </w:p>
        </w:tc>
      </w:tr>
      <w:tr>
        <w:tc>
          <w:tcPr>
            <w:tcW w:type="dxa" w:w="294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p3mai_services_cost_estimator.html</w:t>
            </w:r>
          </w:p>
        </w:tc>
        <w:tc>
          <w:tcPr>
            <w:tcW w:type="dxa" w:w="583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services estimator — towers, 12 products, POTI, tiers, licence scale; quote button carries the basket to the contact form</w:t>
            </w:r>
          </w:p>
        </w:tc>
      </w:tr>
      <w:tr>
        <w:tc>
          <w:tcPr>
            <w:tcW w:type="dxa" w:w="294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calculator.html</w:t>
            </w:r>
          </w:p>
        </w:tc>
        <w:tc>
          <w:tcPr>
            <w:tcW w:type="dxa" w:w="583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Legacy standalone web-project estimator (unlinked)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Aspect</w:t>
            </w:r>
          </w:p>
        </w:tc>
        <w:tc>
          <w:tcPr>
            <w:tcW w:type="dxa" w:w="697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Choice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Markup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Hand-written HTML5, one file per page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Styling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 single CSS design system (style.css, versioned ?v=N)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Behaviour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Vanilla JavaScript (script.js, versioned ?v=N) — no framework, no build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Server-side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contact.php only — the mail handler (PHP 8 on Rise)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Fonts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Poppins (brand), system fallbacks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Assets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SVG logo set, 3D tile icons, blog thumbnails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Hosting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Rise (UK shared cPanel/FTP) behind StackCDN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AF2FB"/>
            <w:tcBorders>
              <w:left w:val="single" w:sz="36" w:color="0B2545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0B2545"/>
                <w:sz w:val="21"/>
              </w:rPr>
              <w:t>🔒  Almost no build step — by design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Static pages plus one PHP endpoint. Edit, preview, publish. The only compiled artefacts anywhere are these documents.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Design system &amp; 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6746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Primary colour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Navy #0B2545 (with dark #071830)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Accent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Gold #C9A227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Background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Light grey #F6F7F9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Font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Poppins</w:t>
            </w:r>
          </w:p>
        </w:tc>
      </w:tr>
      <w:tr>
        <w:tc>
          <w:tcPr>
            <w:tcW w:type="dxa" w:w="204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Logo</w:t>
            </w:r>
          </w:p>
        </w:tc>
        <w:tc>
          <w:tcPr>
            <w:tcW w:type="dxa" w:w="6746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Original plan-view pyramid mark; wordmark is HTML text</w:t>
            </w:r>
          </w:p>
        </w:tc>
      </w:tr>
      <w:tr>
        <w:tc>
          <w:tcPr>
            <w:tcW w:type="dxa" w:w="204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Wordmark rule</w:t>
            </w:r>
          </w:p>
        </w:tc>
        <w:tc>
          <w:tcPr>
            <w:tcW w:type="dxa" w:w="6746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Always two-tone: 'P3M' in primary, 'AI' in gold — never flat</w:t>
            </w:r>
          </w:p>
        </w:tc>
      </w:tr>
    </w:tbl>
    <w:p/>
    <w:p>
      <w:r>
        <w:rPr>
          <w:rFonts w:ascii="Consolas" w:hAnsi="Consolas" w:cs="Consolas"/>
          <w:b w:val="0"/>
          <w:i w:val="0"/>
          <w:color w:val="1B3F6E"/>
          <w:sz w:val="21"/>
        </w:rPr>
        <w:t>style.css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holds the shared design system, including the copy-overhaul components: hero eyebrow strap, ghost buttons, client strip, story section, engagement-ladder cards, case-study blocks, trigger lists, article typography and the takeaways box. The </w:t>
      </w:r>
      <w:r>
        <w:rPr>
          <w:rFonts w:ascii="Segoe UI" w:hAnsi="Segoe UI" w:cs="Segoe UI"/>
          <w:b/>
          <w:i w:val="0"/>
          <w:color w:val="1C2B3A"/>
          <w:sz w:val="22"/>
        </w:rPr>
        <w:t>header and footer markup is byte-identical across every page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(except the active nav item).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Front-end behaviour</w:t>
      </w:r>
    </w:p>
    <w:p>
      <w:r>
        <w:rPr>
          <w:rFonts w:ascii="Consolas" w:hAnsi="Consolas" w:cs="Consolas"/>
          <w:b w:val="0"/>
          <w:i w:val="0"/>
          <w:color w:val="1B3F6E"/>
          <w:sz w:val="21"/>
        </w:rPr>
        <w:t>script.js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provides the interactions, all progressive enhancements over the static markup: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Env-aware app links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six Services-page buttons carry localhost dev defaults; script.js swaps them to the live apps.p3mai.com URLs in production (see §7);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Contact-form context prefill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Get in Touch buttons pass ?interest=&lt;service&gt;, the estimator passes its itemised basket as ?details=; both land in the Message field, never overwriting typed text;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Real form submission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fetch POST to contact.php with a locked Sending… state, a genuine success message, and a graceful direct-email fallback on failure;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Page-transition overlay, responsive hamburger nav, reveal-on-scroll, client-side validation, smooth scrolling.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Integrations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All six P3MAI apps are served behind one front door — </w:t>
      </w:r>
      <w:r>
        <w:rPr>
          <w:rFonts w:ascii="Segoe UI" w:hAnsi="Segoe UI" w:cs="Segoe UI"/>
          <w:b/>
          <w:i w:val="0"/>
          <w:color w:val="1C2B3A"/>
          <w:sz w:val="22"/>
        </w:rPr>
        <w:t>apps.p3mai.com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>, a Render reverse proxy — and every app links back to the site: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Services-page button</w:t>
            </w:r>
          </w:p>
        </w:tc>
        <w:tc>
          <w:tcPr>
            <w:tcW w:type="dxa" w:w="192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Dev default</w:t>
            </w:r>
          </w:p>
        </w:tc>
        <w:tc>
          <w:tcPr>
            <w:tcW w:type="dxa" w:w="4252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PMO Example</w:t>
            </w:r>
          </w:p>
        </w:tc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localhost:5173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apps.p3mai.com/pmo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P3M3 Maturity Assessment</w:t>
            </w:r>
          </w:p>
        </w:tc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localhost:5174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apps.p3mai.com/p3m3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PRINCE2 Method Map</w:t>
            </w:r>
          </w:p>
        </w:tc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localhost:5175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apps.p3mai.com/prince2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MSP Method Map</w:t>
            </w:r>
          </w:p>
        </w:tc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localhost:5176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apps.p3mai.com/msp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SAFe Method Map</w:t>
            </w:r>
          </w:p>
        </w:tc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localhost:5177</w:t>
            </w:r>
          </w:p>
        </w:tc>
        <w:tc>
          <w:tcPr>
            <w:tcW w:type="dxa" w:w="425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apps.p3mai.com/safe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PMBOK Method Map</w:t>
            </w:r>
          </w:p>
        </w:tc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localhost:5178</w:t>
            </w:r>
          </w:p>
        </w:tc>
        <w:tc>
          <w:tcPr>
            <w:tcW w:type="dxa" w:w="4252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apps.p3mai.com/pmbok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Env-aware links — do not hardcode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The localhost hrefs in services.html are intentional dev defaults; </w:t>
            </w:r>
            <w:r>
              <w:rPr>
                <w:rFonts w:ascii="Consolas" w:hAnsi="Consolas" w:cs="Consolas"/>
                <w:b w:val="0"/>
                <w:i w:val="0"/>
                <w:color w:val="1B3F6E"/>
                <w:sz w:val="19"/>
              </w:rPr>
              <w:t>script.js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rewrites them in production. To change a target, edit the swap value in script.js, not the HTML.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contact pipeline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the site's one integration with the outside world: contact.php validates, drops honeypot-caught bots, guards against header injection, and mails the enquiry to </w:t>
      </w:r>
      <w:r>
        <w:rPr>
          <w:rFonts w:ascii="Segoe UI" w:hAnsi="Segoe UI" w:cs="Segoe UI"/>
          <w:b/>
          <w:i w:val="0"/>
          <w:color w:val="1C2B3A"/>
          <w:sz w:val="22"/>
        </w:rPr>
        <w:t>drcolvin@p3mai.com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(From: noreply@p3mai.com for SPF; Reply-To: the visitor).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Hosting &amp;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ho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2 — Hosting: Rise + StackCDN for the site; Render front door for the apps; contact.php mails the domain inbox.</w:t>
      </w:r>
    </w:p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site is hosted on </w:t>
      </w:r>
      <w:r>
        <w:rPr>
          <w:rFonts w:ascii="Segoe UI" w:hAnsi="Segoe UI" w:cs="Segoe UI"/>
          <w:b/>
          <w:i w:val="0"/>
          <w:color w:val="1C2B3A"/>
          <w:sz w:val="22"/>
        </w:rPr>
        <w:t>Rise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(UK shared cPanel/FTP) behind </w:t>
      </w:r>
      <w:r>
        <w:rPr>
          <w:rFonts w:ascii="Segoe UI" w:hAnsi="Segoe UI" w:cs="Segoe UI"/>
          <w:b/>
          <w:i w:val="0"/>
          <w:color w:val="1C2B3A"/>
          <w:sz w:val="22"/>
        </w:rPr>
        <w:t>StackCDN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which caches static assets by exact URL — hence the </w:t>
      </w:r>
      <w:r>
        <w:rPr>
          <w:rFonts w:ascii="Consolas" w:hAnsi="Consolas" w:cs="Consolas"/>
          <w:b w:val="0"/>
          <w:i w:val="0"/>
          <w:color w:val="1B3F6E"/>
          <w:sz w:val="21"/>
        </w:rPr>
        <w:t>?v=N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version strings on style.css and script.js. Publishing means uploading the approved files into </w:t>
      </w:r>
      <w:r>
        <w:rPr>
          <w:rFonts w:ascii="Consolas" w:hAnsi="Consolas" w:cs="Consolas"/>
          <w:b w:val="0"/>
          <w:i w:val="0"/>
          <w:color w:val="1B3F6E"/>
          <w:sz w:val="21"/>
        </w:rPr>
        <w:t>public_html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Full steps, the allow-list and the CDN discipline are in </w:t>
      </w:r>
      <w:r>
        <w:rPr>
          <w:rFonts w:ascii="Segoe UI" w:hAnsi="Segoe UI" w:cs="Segoe UI"/>
          <w:b/>
          <w:i w:val="0"/>
          <w:color w:val="1C2B3A"/>
          <w:sz w:val="22"/>
        </w:rPr>
        <w:t>DOC-03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Publish only the approved files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Never upload the whole project folder — it contains source assets, documents and memory that must never be public. DOC-03 carries the exact allow-list.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Decision</w:t>
            </w:r>
          </w:p>
        </w:tc>
        <w:tc>
          <w:tcPr>
            <w:tcW w:type="dxa" w:w="618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Static + one PHP endpoint</w:t>
            </w:r>
          </w:p>
        </w:tc>
        <w:tc>
          <w:tcPr>
            <w:tcW w:type="dxa" w:w="618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Fast, robust, trivially hostable; email needs exactly one server-side file.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Byte-identical header/footer</w:t>
            </w:r>
          </w:p>
        </w:tc>
        <w:tc>
          <w:tcPr>
            <w:tcW w:type="dxa" w:w="618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One consistent shell; verified with a diff after edits.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Env-aware links in JS</w:t>
            </w:r>
          </w:p>
        </w:tc>
        <w:tc>
          <w:tcPr>
            <w:tcW w:type="dxa" w:w="618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Cross-links work in dev and prod with no manual editing.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Context-carrying CTAs</w:t>
            </w:r>
          </w:p>
        </w:tc>
        <w:tc>
          <w:tcPr>
            <w:tcW w:type="dxa" w:w="618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Every enquiry arrives naming the service (or the estimator basket) it came from.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Asset version strings (?v=N)</w:t>
            </w:r>
          </w:p>
        </w:tc>
        <w:tc>
          <w:tcPr>
            <w:tcW w:type="dxa" w:w="618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StackCDN caches by exact URL; bumping the string is the only reliable purge.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Original artwork only</w:t>
            </w:r>
          </w:p>
        </w:tc>
        <w:tc>
          <w:tcPr>
            <w:tcW w:type="dxa" w:w="618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Brand integrity; no copyright risk.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No fabricated content</w:t>
            </w:r>
          </w:p>
        </w:tc>
        <w:tc>
          <w:tcPr>
            <w:tcW w:type="dxa" w:w="618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Everything grounded in the real CV; testimonials section stays dormant until real quotes exist.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Non-functional considerations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Performance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static files behind a CDN; minimal JS.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Responsiveness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mobile-first layout with a hamburger menu.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SEO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per-page titles/meta descriptions; four full articles as the content layer.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Security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contact.php validates, caps lengths, strips CR/LF from headers, honeypots bots.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Maintainability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one file per page, one stylesheet, one script, one PHP file.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11.  Roadmap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Activate the dormant testimonials section once real attributed quotes exist (MKT-08).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Pivot the primary CTA to the free delivery health check after testimonials (MKT-09).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Analytics + email capture (MKT-01/02) — the funnel currently runs unmeasured.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Appendix A —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business-website/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index / about / services / blog / contact .html      core pages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program-management / project-management 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  pmo-services .html                                 service detail pages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building-web-apps-with-claude / ai-programs-need-a-pmo 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  scaling-ai-infrastructure / agentic-ai-in-the-pmo .html   articles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p3mai_services_cost_estimator.html                   THE services estimator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calculator.html                                      legacy estimator (unlinked)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contact.php                                          mail handler (the only PHP)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style.css / script.js                                design system + behaviour (?v=N)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logo/favicon SVGs, tile icons, blog thumbs, imagery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docs/                                                this documentation set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Website</w:t>
    </w:r>
    <w:r>
      <w:rPr>
        <w:rFonts w:ascii="Segoe UI" w:hAnsi="Segoe UI" w:cs="Segoe UI"/>
        <w:b w:val="0"/>
        <w:i w:val="0"/>
        <w:color w:val="5B6675"/>
        <w:sz w:val="16"/>
      </w:rPr>
      <w:tab/>
      <w:t>v2.0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