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Structure &amp; design of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v2.0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v2.0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Copy overhaul + service pages + articles + services estimator + contact mail pipeline + apps front door; site is 12 pages + one PHP endpoint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the public business site for P3MAI (Douglas Colvin's program, project and PMO consultancy). It is a </w:t>
      </w:r>
      <w:r>
        <w:rPr>
          <w:rFonts w:ascii="Segoe UI" w:hAnsi="Segoe UI" w:cs="Segoe UI"/>
          <w:b/>
          <w:i w:val="0"/>
          <w:color w:val="1C2B3A"/>
          <w:sz w:val="22"/>
        </w:rPr>
        <w:t>hand-built site with no framework and no build step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twelve HTML pages, two standalone estimators, one shared stylesheet and script, and exactly one piece of server-side code: </w:t>
      </w:r>
      <w:r>
        <w:rPr>
          <w:rFonts w:ascii="Consolas" w:hAnsi="Consolas" w:cs="Consolas"/>
          <w:b w:val="0"/>
          <w:i w:val="0"/>
          <w:color w:val="1B3F6E"/>
          <w:sz w:val="21"/>
        </w:rPr>
        <w:t>contact.php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emails enquiries to the domain mailbox. It carries the P3MAI brand (navy/gold, Poppins, pyramid logo, two-tone P3M+AI wordmark), presents a Board-level positioning (“AI-Enabled · Sovereign · Safe · Proven”), and links to six live P3MAI web apps through the </w:t>
      </w:r>
      <w:r>
        <w:rPr>
          <w:rFonts w:ascii="Segoe UI" w:hAnsi="Segoe UI" w:cs="Segoe UI"/>
          <w:b/>
          <w:i w:val="0"/>
          <w:color w:val="1C2B3A"/>
          <w:sz w:val="22"/>
        </w:rPr>
        <w:t>apps.p3mai.com front door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Hosted on </w:t>
      </w:r>
      <w:r>
        <w:rPr>
          <w:rFonts w:ascii="Segoe UI" w:hAnsi="Segoe UI" w:cs="Segoe UI"/>
          <w:b/>
          <w:i w:val="0"/>
          <w:color w:val="1C2B3A"/>
          <w:sz w:val="22"/>
        </w:rPr>
        <w:t>Rise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at </w:t>
      </w:r>
      <w:r>
        <w:rPr>
          <w:rFonts w:ascii="Segoe UI" w:hAnsi="Segoe UI" w:cs="Segoe UI"/>
          <w:b/>
          <w:i w:val="0"/>
          <w:color w:val="1C2B3A"/>
          <w:sz w:val="22"/>
        </w:rPr>
        <w:t>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 &amp;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design and structure reference for the website. Visitor-facing guidance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maintenance and publishing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Whoever maintains the site — comfortable editing HTML/CSS/JS and one small PHP file.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Site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Twelve linked pages plus two standalone estimators, all sharing one header/footer shell: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te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Site map.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Page</w:t>
            </w:r>
          </w:p>
        </w:tc>
        <w:tc>
          <w:tcPr>
            <w:tcW w:type="dxa" w:w="583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index.html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Home — problem-led hero + capability strap, named-client strip, story section, track record, engagement ladder, dual CTA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about.html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Breadth-first bio, six-milestone career timeline, sovereign-and-safe credentials, certifications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services.html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Three service cards (who-for lines, Service Details links, six app buttons), estimator CTA, comparison table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program-management.html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 detail: triggers, method, Core42 supercomputers case study, ladder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project-management.html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 detail: triggers, method, ENBD fraud case study, ladder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pmo-services.html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Service detail: triggers, method, Core42 Responsible-AI-PMO + Emirates/dnata case studies, ladder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blog.html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Four posts, each linking to a full article page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building-web-apps-with-claude.html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Article: the site/apps built with Claude — the case study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ai-programs-need-a-pmo.html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Article: day-one governance for AI programs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scaling-ai-infrastructure.html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Article: TOP500-scale delivery discipline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agentic-ai-in-the-pmo.html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Article: agents do assembly, humans do judgment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contact.html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Validated form (posts to contact.php), details, map</w:t>
            </w:r>
          </w:p>
        </w:tc>
      </w:tr>
      <w:tr>
        <w:tc>
          <w:tcPr>
            <w:tcW w:type="dxa" w:w="294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p3mai_services_cost_estimator.html</w:t>
            </w:r>
          </w:p>
        </w:tc>
        <w:tc>
          <w:tcPr>
            <w:tcW w:type="dxa" w:w="583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services estimator — towers, 12 products, POTI, tiers, licence scale; quote button carries the basket to the contact form</w:t>
            </w:r>
          </w:p>
        </w:tc>
      </w:tr>
      <w:tr>
        <w:tc>
          <w:tcPr>
            <w:tcW w:type="dxa" w:w="294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calculator.html</w:t>
            </w:r>
          </w:p>
        </w:tc>
        <w:tc>
          <w:tcPr>
            <w:tcW w:type="dxa" w:w="583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Legacy standalone web-project estimator (unlinked)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97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Markup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Hand-written HTML5, one file per page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Styling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single CSS design system (style.css, versioned ?v=N)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Behaviour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Vanilla JavaScript (script.js, versioned ?v=N) — no framework, no build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Server-side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contact.php only — the mail handler (PHP 8 on Rise)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Fonts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Poppins (brand), system fallbacks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Assets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SVG logo set, 3D tile icons, blog thumbnails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Rise (UK shared cPanel/FTP) behind StackCDN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Almost no build step — by design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Static pages plus one PHP endpoint. Edit, preview, publish. The only compiled artefacts anywhere are these documents.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Design system &amp; brand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04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Element</w:t>
            </w:r>
          </w:p>
        </w:tc>
        <w:tc>
          <w:tcPr>
            <w:tcW w:type="dxa" w:w="674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Primary colour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Navy #0B2545 (with dark #071830)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Accent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Gold #C9A227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Background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Light grey #F6F7F9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Font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Poppins</w:t>
            </w:r>
          </w:p>
        </w:tc>
      </w:tr>
      <w:tr>
        <w:tc>
          <w:tcPr>
            <w:tcW w:type="dxa" w:w="204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Logo</w:t>
            </w:r>
          </w:p>
        </w:tc>
        <w:tc>
          <w:tcPr>
            <w:tcW w:type="dxa" w:w="674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Original plan-view pyramid mark; wordmark is HTML text</w:t>
            </w:r>
          </w:p>
        </w:tc>
      </w:tr>
      <w:tr>
        <w:tc>
          <w:tcPr>
            <w:tcW w:type="dxa" w:w="204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Wordmark rule</w:t>
            </w:r>
          </w:p>
        </w:tc>
        <w:tc>
          <w:tcPr>
            <w:tcW w:type="dxa" w:w="674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Always two-tone: 'P3M' in primary, 'AI' in gold — never flat</w:t>
            </w:r>
          </w:p>
        </w:tc>
      </w:tr>
    </w:tbl>
    <w:p/>
    <w:p>
      <w:r>
        <w:rPr>
          <w:rFonts w:ascii="Consolas" w:hAnsi="Consolas" w:cs="Consolas"/>
          <w:b w:val="0"/>
          <w:i w:val="0"/>
          <w:color w:val="1B3F6E"/>
          <w:sz w:val="21"/>
        </w:rPr>
        <w:t>style.css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holds the shared design system, including the copy-overhaul components: hero eyebrow strap, ghost buttons, client strip, story section, engagement-ladder cards, case-study blocks, trigger lists, article typography and the takeaways box. The </w:t>
      </w:r>
      <w:r>
        <w:rPr>
          <w:rFonts w:ascii="Segoe UI" w:hAnsi="Segoe UI" w:cs="Segoe UI"/>
          <w:b/>
          <w:i w:val="0"/>
          <w:color w:val="1C2B3A"/>
          <w:sz w:val="22"/>
        </w:rPr>
        <w:t>header and footer markup is byte-identical across every page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(except the active nav item).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Front-end behaviour</w:t>
      </w:r>
    </w:p>
    <w:p>
      <w:r>
        <w:rPr>
          <w:rFonts w:ascii="Consolas" w:hAnsi="Consolas" w:cs="Consolas"/>
          <w:b w:val="0"/>
          <w:i w:val="0"/>
          <w:color w:val="1B3F6E"/>
          <w:sz w:val="21"/>
        </w:rPr>
        <w:t>script.js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provides the interactions, all progressive enhancements over the static markup: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Env-aware app links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six Services-page buttons carry localhost dev defaults; script.js swaps them to the live apps.p3mai.com URLs in production (see §7);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Contact-form context prefill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Get in Touch buttons pass ?interest=&lt;service&gt;, the estimator passes its itemised basket as ?details=; both land in the Message field, never overwriting typed text;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Real form submission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fetch POST to contact.php with a locked Sending… state, a genuine success message, and a graceful direct-email fallback on failure;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Page-transition overlay, responsive hamburger nav, reveal-on-scroll, client-side validation, smooth scrolling.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Integrations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All six P3MAI apps are served behind one front door — </w:t>
      </w:r>
      <w:r>
        <w:rPr>
          <w:rFonts w:ascii="Segoe UI" w:hAnsi="Segoe UI" w:cs="Segoe UI"/>
          <w:b/>
          <w:i w:val="0"/>
          <w:color w:val="1C2B3A"/>
          <w:sz w:val="22"/>
        </w:rPr>
        <w:t>apps.p3mai.com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, a Render reverse proxy — and every app links back to the site: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Services-page button</w:t>
            </w:r>
          </w:p>
        </w:tc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Dev default</w:t>
            </w:r>
          </w:p>
        </w:tc>
        <w:tc>
          <w:tcPr>
            <w:tcW w:type="dxa" w:w="425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Production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 Example</w:t>
            </w:r>
          </w:p>
        </w:tc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localhost:5173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apps.p3mai.com/pmo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P3M3 Maturity Assessment</w:t>
            </w:r>
          </w:p>
        </w:tc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localhost:5174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apps.p3mai.com/p3m3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Method Map</w:t>
            </w:r>
          </w:p>
        </w:tc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localhost:5175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Method Map</w:t>
            </w:r>
          </w:p>
        </w:tc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localhost:5176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Method Map</w:t>
            </w:r>
          </w:p>
        </w:tc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localhost:5177</w:t>
            </w:r>
          </w:p>
        </w:tc>
        <w:tc>
          <w:tcPr>
            <w:tcW w:type="dxa" w:w="425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 Method Map</w:t>
            </w:r>
          </w:p>
        </w:tc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localhost:5178</w:t>
            </w:r>
          </w:p>
        </w:tc>
        <w:tc>
          <w:tcPr>
            <w:tcW w:type="dxa" w:w="425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apps.p3mai.com/pmbok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Env-aware links — do not hardcode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localhost hrefs in services.html are intentional dev defaults; </w:t>
            </w:r>
            <w:r>
              <w:rPr>
                <w:rFonts w:ascii="Consolas" w:hAnsi="Consolas" w:cs="Consolas"/>
                <w:b w:val="0"/>
                <w:i w:val="0"/>
                <w:color w:val="1B3F6E"/>
                <w:sz w:val="19"/>
              </w:rPr>
              <w:t>script.js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rewrites them in production. To change a target, edit the swap value in script.js, not the HTML.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contact pipeline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the site's one integration with the outside world: contact.php validates, drops honeypot-caught bots, guards against header injection, and mails the enquiry to </w:t>
      </w:r>
      <w:r>
        <w:rPr>
          <w:rFonts w:ascii="Segoe UI" w:hAnsi="Segoe UI" w:cs="Segoe UI"/>
          <w:b/>
          <w:i w:val="0"/>
          <w:color w:val="1C2B3A"/>
          <w:sz w:val="22"/>
        </w:rPr>
        <w:t>drcolvin@p3mai.com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(From: noreply@p3mai.com for SPF; Reply-To: the visitor).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Hosting &amp; deployment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ost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Hosting: Rise + StackCDN for the site; Render front door for the apps; contact.php mails the domain inbox.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site is hosted on </w:t>
      </w:r>
      <w:r>
        <w:rPr>
          <w:rFonts w:ascii="Segoe UI" w:hAnsi="Segoe UI" w:cs="Segoe UI"/>
          <w:b/>
          <w:i w:val="0"/>
          <w:color w:val="1C2B3A"/>
          <w:sz w:val="22"/>
        </w:rPr>
        <w:t>Rise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(UK shared cPanel/FTP) behind </w:t>
      </w:r>
      <w:r>
        <w:rPr>
          <w:rFonts w:ascii="Segoe UI" w:hAnsi="Segoe UI" w:cs="Segoe UI"/>
          <w:b/>
          <w:i w:val="0"/>
          <w:color w:val="1C2B3A"/>
          <w:sz w:val="22"/>
        </w:rPr>
        <w:t>StackCDN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caches static assets by exact URL — hence the </w:t>
      </w:r>
      <w:r>
        <w:rPr>
          <w:rFonts w:ascii="Consolas" w:hAnsi="Consolas" w:cs="Consolas"/>
          <w:b w:val="0"/>
          <w:i w:val="0"/>
          <w:color w:val="1B3F6E"/>
          <w:sz w:val="21"/>
        </w:rPr>
        <w:t>?v=N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version strings on style.css and script.js. Publishing means uploading the approved files into </w:t>
      </w:r>
      <w:r>
        <w:rPr>
          <w:rFonts w:ascii="Consolas" w:hAnsi="Consolas" w:cs="Consolas"/>
          <w:b w:val="0"/>
          <w:i w:val="0"/>
          <w:color w:val="1B3F6E"/>
          <w:sz w:val="21"/>
        </w:rPr>
        <w:t>public_html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Full steps, the allow-list and the CDN discipline are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Publish only the approved files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Never upload the whole project folder — it contains source assets, documents and memory that must never be public. DOC-03 carries the exact allow-list.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618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Static + one PHP endpoint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Fast, robust, trivially hostable; email needs exactly one server-side file.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Byte-identical header/footer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consistent shell; verified with a diff after edits.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Env-aware links in JS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Cross-links work in dev and prod with no manual editing.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Context-carrying CTAs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Every enquiry arrives naming the service (or the estimator basket) it came from.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Asset version strings (?v=N)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StackCDN caches by exact URL; bumping the string is the only reliable purge.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Original artwork only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Brand integrity; no copyright risk.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fabricated content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Everything grounded in the real CV; testimonials section stays dormant until real quotes exist.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static files behind a CDN; minimal JS.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Responsiveness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mobile-first layout with a hamburger menu.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SEO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per-page titles/meta descriptions; four full articles as the content layer.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Security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contact.php validates, caps lengths, strips CR/LF from headers, honeypots bots.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Maintainability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file per page, one stylesheet, one script, one PHP file.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Roadmap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Activate the dormant testimonials section once real attributed quotes exist (MKT-08).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Pivot the primary CTA to the free delivery health check after testimonials (MKT-09).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Analytics + email capture (MKT-01/02) — the funnel currently runs unmeasured.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Files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business-website/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index / about / services / blog / contact .html      core pages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program-management / project-management 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pmo-services .html                                 service detail pages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building-web-apps-with-claude / ai-programs-need-a-pmo 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scaling-ai-infrastructure / agentic-ai-in-the-pmo .html   articles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p3mai_services_cost_estimator.html                   THE services estimator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calculator.html                                      legacy estimator (unlinked)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contact.php                                          mail handler (the only PHP)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style.css / script.js                                design system + behaviour (?v=N)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logo/favicon SVGs, tile icons, blog thumbs, imagery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                                      this documentation set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v2.0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