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drawing>
          <wp:inline distT="0" distB="0" distL="0" distR="0">
            <wp:extent cx="6286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1295400"/>
                    </a:xfrm>
                    <a:prstGeom prst="rect">
                      <a:avLst/>
                    </a:prstGeom>
                  </pic:spPr>
                </pic:pic>
              </a:graphicData>
            </a:graphic>
          </wp:inline>
        </w:drawing>
      </w:r>
    </w:p>
    <w:tbl>
      <w:tblPr>
        <w:tblW w:type="dxa" w:w="9906"/>
        <w:tblBorders>
          <w:top w:val="none"/>
          <w:left w:val="none"/>
          <w:bottom w:val="none"/>
          <w:right w:val="none"/>
          <w:insideH w:val="none"/>
          <w:insideV w:val="none"/>
        </w:tblBorders>
      </w:tblPr>
      <w:tblGrid>
        <w:gridCol w:w="3300"/>
        <w:gridCol w:w="6606"/>
      </w:tblGrid>
      <w:tr>
        <w:tc>
          <w:tcPr>
            <w:tcW w:type="dxa" w:w="3300"/>
            <w:tcMar>
              <w:top w:type="dxa" w:w="140"/>
              <w:left w:type="dxa" w:w="220"/>
              <w:bottom w:type="dxa" w:w="220"/>
              <w:right w:type="dxa" w:w="260"/>
            </w:tcMar>
          </w:tcPr>
          <w:p>
            <w:pPr>
              <w:spacing w:after="100" w:before="240"/>
            </w:pPr>
            <w:r>
              <w:drawing>
                <wp:inline distT="0" distB="0" distL="0" distR="0">
                  <wp:extent cx="18383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38325" cy="276225"/>
                          </a:xfrm>
                          <a:prstGeom prst="rect">
                            <a:avLst/>
                          </a:prstGeom>
                        </pic:spPr>
                      </pic:pic>
                    </a:graphicData>
                  </a:graphic>
                </wp:inline>
              </w:drawing>
            </w:r>
          </w:p>
          <w:p>
            <w:pPr>
              <w:spacing w:after="70"/>
            </w:pPr>
            <w:r>
              <w:rPr>
                <w:rFonts w:ascii="Calibri" w:cs="Calibri" w:eastAsia="Calibri" w:hAnsi="Calibri"/>
                <w:b w:val="false"/>
                <w:bCs w:val="false"/>
                <w:color w:val="242424"/>
                <w:sz w:val="19"/>
                <w:szCs w:val="19"/>
              </w:rPr>
              <w:t xml:space="preserve">Dubai / Abu Dhabi, UAE</w:t>
            </w:r>
          </w:p>
          <w:p>
            <w:pPr>
              <w:spacing w:after="70"/>
            </w:pPr>
            <w:r>
              <w:rPr>
                <w:rFonts w:ascii="Calibri" w:cs="Calibri" w:eastAsia="Calibri" w:hAnsi="Calibri"/>
                <w:b w:val="false"/>
                <w:bCs w:val="false"/>
                <w:color w:val="242424"/>
                <w:sz w:val="19"/>
                <w:szCs w:val="19"/>
              </w:rPr>
              <w:t xml:space="preserve">+971 5 85 38 39 32</w:t>
            </w:r>
          </w:p>
          <w:p>
            <w:pPr>
              <w:spacing w:after="70"/>
            </w:pPr>
            <w:hyperlink w:history="1" r:id="rIdxmttbdxrxdxqrdllwddfo">
              <w:r>
                <w:rPr>
                  <w:rFonts w:ascii="Calibri" w:cs="Calibri" w:eastAsia="Calibri" w:hAnsi="Calibri"/>
                  <w:color w:val="0F6E6E"/>
                  <w:sz w:val="19"/>
                  <w:szCs w:val="19"/>
                  <w:u w:val="single"/>
                </w:rPr>
                <w:t xml:space="preserve">drcolvin@yahoo.com</w:t>
              </w:r>
            </w:hyperlink>
          </w:p>
          <w:p>
            <w:pPr>
              <w:spacing w:after="70"/>
            </w:pPr>
            <w:hyperlink w:history="1" r:id="rIdbx6wxjccl4vnp09caihu9">
              <w:r>
                <w:rPr>
                  <w:rFonts w:ascii="Calibri" w:cs="Calibri" w:eastAsia="Calibri" w:hAnsi="Calibri"/>
                  <w:color w:val="0F6E6E"/>
                  <w:sz w:val="19"/>
                  <w:szCs w:val="19"/>
                  <w:u w:val="single"/>
                </w:rPr>
                <w:t xml:space="preserve">linkedin.com/in/douglascolvin</w:t>
              </w:r>
            </w:hyperlink>
          </w:p>
          <w:p>
            <w:pPr>
              <w:spacing w:after="100" w:before="240"/>
            </w:pPr>
            <w:r>
              <w:drawing>
                <wp:inline distT="0" distB="0" distL="0" distR="0">
                  <wp:extent cx="18383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38325" cy="276225"/>
                          </a:xfrm>
                          <a:prstGeom prst="rect">
                            <a:avLst/>
                          </a:prstGeom>
                        </pic:spPr>
                      </pic:pic>
                    </a:graphicData>
                  </a:graphic>
                </wp:inline>
              </w:drawing>
            </w:r>
          </w:p>
          <w:p>
            <w:pPr>
              <w:spacing w:after="40"/>
            </w:pPr>
            <w:r>
              <w:rPr>
                <w:rFonts w:ascii="Calibri" w:cs="Calibri" w:eastAsia="Calibri" w:hAnsi="Calibri"/>
                <w:b/>
                <w:bCs/>
                <w:color w:val="1A1A1A"/>
                <w:sz w:val="19"/>
                <w:szCs w:val="19"/>
              </w:rPr>
              <w:t xml:space="preserve">Leadership &amp; Delivery</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Programme, Portfolio &amp; PMO leadership</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$1B+ budget &amp; multi-vendor management</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Matrix leadership of 100+ staff</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Board / C-suite stakeholder engagement</w:t>
            </w:r>
          </w:p>
          <w:p>
            <w:pPr>
              <w:spacing w:after="40"/>
            </w:pPr>
            <w:r>
              <w:rPr>
                <w:rFonts w:ascii="Calibri" w:cs="Calibri" w:eastAsia="Calibri" w:hAnsi="Calibri"/>
                <w:b/>
                <w:bCs/>
                <w:color w:val="1A1A1A"/>
                <w:sz w:val="19"/>
                <w:szCs w:val="19"/>
              </w:rPr>
              <w:t xml:space="preserve">Methods &amp; Governance</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Agile, Scrum &amp; SAFe</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Waterfall &amp; hybrid delivery</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MSP &amp; PRINCE2 programme governance</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Lean Six Sigma process improvement</w:t>
            </w:r>
          </w:p>
          <w:p>
            <w:pPr>
              <w:spacing w:after="40"/>
            </w:pPr>
            <w:r>
              <w:rPr>
                <w:rFonts w:ascii="Calibri" w:cs="Calibri" w:eastAsia="Calibri" w:hAnsi="Calibri"/>
                <w:b/>
                <w:bCs/>
                <w:color w:val="1A1A1A"/>
                <w:sz w:val="19"/>
                <w:szCs w:val="19"/>
              </w:rPr>
              <w:t xml:space="preserve">AI, Agents &amp; Technology</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Agentic AI agent design &amp; deployment</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Full Claude suite of tools (agents, MCP, Code)</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AI infrastructure &amp; GPU supercomputing</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Digital &amp; business transformation</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Data migration &amp; data-centre delivery</w:t>
            </w:r>
          </w:p>
          <w:p>
            <w:pPr>
              <w:spacing w:after="100" w:before="240"/>
            </w:pPr>
            <w:r>
              <w:drawing>
                <wp:inline distT="0" distB="0" distL="0" distR="0">
                  <wp:extent cx="18383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38325" cy="276225"/>
                          </a:xfrm>
                          <a:prstGeom prst="rect">
                            <a:avLst/>
                          </a:prstGeom>
                        </pic:spPr>
                      </pic:pic>
                    </a:graphicData>
                  </a:graphic>
                </wp:inline>
              </w:drawing>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APM — Association for Project Management</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PRINCE2 — Practitioner</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MSP (Managing Successful Programmes) — Practitioner</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Scrum Master — SAFe Agile</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Lean Six Sigma — Green Belt</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Professional Diploma — Management Studies</w:t>
            </w:r>
          </w:p>
          <w:p>
            <w:pPr>
              <w:spacing w:after="100" w:before="240"/>
            </w:pPr>
            <w:r>
              <w:drawing>
                <wp:inline distT="0" distB="0" distL="0" distR="0">
                  <wp:extent cx="18383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38325" cy="276225"/>
                          </a:xfrm>
                          <a:prstGeom prst="rect">
                            <a:avLst/>
                          </a:prstGeom>
                        </pic:spPr>
                      </pic:pic>
                    </a:graphicData>
                  </a:graphic>
                </wp:inline>
              </w:drawing>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Professional Diploma — Management Studies — Open University</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Diploma — Computing Technology &amp; Electronics — Middlesex University</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M.Sc. — Applied Geophysics — University of Birmingham</w:t>
            </w:r>
          </w:p>
          <w:p>
            <w:pPr>
              <w:spacing w:after="64"/>
              <w:ind w:left="120" w:hanging="120"/>
            </w:pPr>
            <w:r>
              <w:rPr>
                <w:rFonts w:ascii="Calibri" w:cs="Calibri" w:eastAsia="Calibri" w:hAnsi="Calibri"/>
                <w:color w:val="0F6E6E"/>
                <w:sz w:val="17"/>
                <w:szCs w:val="17"/>
              </w:rPr>
              <w:t xml:space="preserve">▪ </w:t>
            </w:r>
            <w:r>
              <w:rPr>
                <w:rFonts w:ascii="Calibri" w:cs="Calibri" w:eastAsia="Calibri" w:hAnsi="Calibri"/>
                <w:color w:val="242424"/>
                <w:sz w:val="19"/>
                <w:szCs w:val="19"/>
              </w:rPr>
              <w:t xml:space="preserve">B.Sc. (Hons) — Geophysics — University of Edinburgh</w:t>
            </w:r>
          </w:p>
        </w:tc>
        <w:tc>
          <w:tcPr>
            <w:tcW w:type="dxa" w:w="6606"/>
            <w:tcMar>
              <w:top w:type="dxa" w:w="120"/>
              <w:left w:type="dxa" w:w="300"/>
              <w:bottom w:type="dxa" w:w="120"/>
              <w:right w:type="dxa" w:w="120"/>
            </w:tcMar>
          </w:tcPr>
          <w:p>
            <w:pPr>
              <w:spacing w:after="120" w:before="300"/>
            </w:pPr>
            <w:r>
              <w:drawing>
                <wp:inline distT="0" distB="0" distL="0" distR="0">
                  <wp:extent cx="39528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52875" cy="323850"/>
                          </a:xfrm>
                          <a:prstGeom prst="rect">
                            <a:avLst/>
                          </a:prstGeom>
                        </pic:spPr>
                      </pic:pic>
                    </a:graphicData>
                  </a:graphic>
                </wp:inline>
              </w:drawing>
            </w:r>
          </w:p>
          <w:p>
            <w:pPr>
              <w:spacing w:after="60"/>
              <w:jc w:val="both"/>
            </w:pPr>
            <w:r>
              <w:rPr>
                <w:rFonts w:ascii="Calibri" w:cs="Calibri" w:eastAsia="Calibri" w:hAnsi="Calibri"/>
                <w:color w:val="1F1F1F"/>
                <w:sz w:val="19"/>
                <w:szCs w:val="19"/>
              </w:rPr>
              <w:t xml:space="preserve">Delivery-focused Programme and Portfolio Director with 25+ years leading high-impact, full-lifecycle programmes for blue-chip clients worldwide. Proven track record across business change, systems development, data migration and infrastructure capability — from AI supercomputing platforms to core banking transformation. Commands programme and project budgets of up to $1B and matrix-manages teams of 100+ across multiple vendors. A results-oriented leader who sets the governance, standards and processes that lift delivery performance, communicates with confidence at Board and C-suite level, and consistently brings complex, high-pressure initiatives to a controlled, value-driven close. An early adopter of agentic AI, he designs and deploys autonomous AI agents using the full Claude suite of tools to automate delivery, reporting and data analysis.</w:t>
            </w:r>
          </w:p>
          <w:p>
            <w:pPr>
              <w:spacing w:after="120" w:before="300"/>
            </w:pPr>
            <w:r>
              <w:drawing>
                <wp:inline distT="0" distB="0" distL="0" distR="0">
                  <wp:extent cx="39528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52875" cy="323850"/>
                          </a:xfrm>
                          <a:prstGeom prst="rect">
                            <a:avLst/>
                          </a:prstGeom>
                        </pic:spPr>
                      </pic:pic>
                    </a:graphicData>
                  </a:graphic>
                </wp:inline>
              </w:drawing>
            </w:r>
          </w:p>
          <w:tbl>
            <w:tblPr>
              <w:tblW w:type="dxa" w:w="6226"/>
              <w:tblBorders>
                <w:top w:val="none"/>
                <w:left w:val="single" w:color="0F6E6E" w:sz="18"/>
                <w:bottom w:val="none"/>
                <w:right w:val="none"/>
                <w:insideH w:val="none"/>
                <w:insideV w:val="none"/>
              </w:tblBorders>
            </w:tblPr>
            <w:tblGrid>
              <w:gridCol w:w="6226"/>
            </w:tblGrid>
            <w:tr>
              <w:tc>
                <w:tcPr>
                  <w:tcW w:type="dxa" w:w="6226"/>
                  <w:shd w:fill="EBF4F4" w:val="clear"/>
                  <w:tcMar>
                    <w:top w:type="dxa" w:w="150"/>
                    <w:left w:type="dxa" w:w="220"/>
                    <w:bottom w:type="dxa" w:w="110"/>
                    <w:right w:type="dxa" w:w="180"/>
                  </w:tcMar>
                </w:tcPr>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Delivered two TOP500-ranked AI supercomputers: the AMD MI300X “Maximus” cluster (ranked #20 globally, Nov 2025) and an Nvidia DGX SuperPOD 1,272-GPU training cluster (ranked #25 globally and fastest in EMEA, Nov 2024).</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Pioneered the adoption of agentic AI — designing and deploying autonomous AI agents built on the full Claude suite of tools to automate PMO reporting, data analysis and delivery workflows.</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Built the Responsible AI PMO function from the ground up at Core42/G42, spanning Finance, Procurement, Training, Vendor/Partner and Project &amp; Programme management across all G42 affiliate organisations.</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Managed programme and project budgets of up to $1B and matrix-managed 100+ staff and multiple vendors on single initiatives.</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Delivered major transformation programmes at scale — including a £28m Active Directory transformation phase (RBS), a €3.2m data-centre consolidation (Anglo Irish Bank) and a $20m European data-centre plant upgrade (Level 3).</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Cross-industry delivery leadership spanning AI, Finance, Insurance, Oil &amp; Gas, Telecommunications, Aviation, Utilities, Shipping and Retail.</w:t>
                  </w:r>
                </w:p>
              </w:tc>
            </w:tr>
          </w:tbl>
          <w:p>
            <w:pPr>
              <w:spacing w:after="120" w:before="0"/>
            </w:pPr>
            <w:r>
              <w:drawing>
                <wp:inline distT="0" distB="0" distL="0" distR="0">
                  <wp:extent cx="3952875" cy="7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52875" cy="76200"/>
                          </a:xfrm>
                          <a:prstGeom prst="rect">
                            <a:avLst/>
                          </a:prstGeom>
                        </pic:spPr>
                      </pic:pic>
                    </a:graphicData>
                  </a:graphic>
                </wp:inline>
              </w:drawing>
            </w:r>
          </w:p>
          <w:p>
            <w:pPr>
              <w:spacing w:after="120" w:before="300"/>
            </w:pPr>
            <w:r>
              <w:drawing>
                <wp:inline distT="0" distB="0" distL="0" distR="0">
                  <wp:extent cx="39528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52875" cy="323850"/>
                          </a:xfrm>
                          <a:prstGeom prst="rect">
                            <a:avLst/>
                          </a:prstGeom>
                        </pic:spPr>
                      </pic:pic>
                    </a:graphicData>
                  </a:graphic>
                </wp:inline>
              </w:drawing>
            </w:r>
          </w:p>
          <w:p>
            <w:pPr>
              <w:spacing w:after="0" w:before="200"/>
            </w:pPr>
            <w:r>
              <w:rPr>
                <w:rFonts w:ascii="Calibri" w:cs="Calibri" w:eastAsia="Calibri" w:hAnsi="Calibri"/>
                <w:b/>
                <w:bCs/>
                <w:color w:val="1A1A1A"/>
                <w:sz w:val="22"/>
                <w:szCs w:val="22"/>
              </w:rPr>
              <w:t xml:space="preserve">Programme Manager</w:t>
            </w:r>
          </w:p>
          <w:p>
            <w:pPr>
              <w:tabs>
                <w:tab w:val="right" w:pos="6446"/>
              </w:tabs>
              <w:spacing w:after="50"/>
            </w:pPr>
            <w:r>
              <w:rPr>
                <w:rFonts w:ascii="Calibri" w:cs="Calibri" w:eastAsia="Calibri" w:hAnsi="Calibri"/>
                <w:b/>
                <w:bCs/>
                <w:color w:val="0F6E6E"/>
                <w:sz w:val="19"/>
                <w:szCs w:val="19"/>
              </w:rPr>
              <w:t xml:space="preserve">Core42 / G42</w:t>
            </w:r>
            <w:r>
              <w:rPr>
                <w:rFonts w:ascii="Calibri" w:cs="Calibri" w:eastAsia="Calibri" w:hAnsi="Calibri"/>
                <w:color w:val="5A5A5A"/>
                <w:sz w:val="17"/>
                <w:szCs w:val="17"/>
              </w:rPr>
              <w:t xml:space="preserve">	Aug 2023 – Present</w:t>
            </w:r>
          </w:p>
          <w:p>
            <w:pPr>
              <w:spacing w:after="50"/>
            </w:pPr>
            <w:r>
              <w:rPr>
                <w:rFonts w:ascii="Calibri" w:cs="Calibri" w:eastAsia="Calibri" w:hAnsi="Calibri"/>
                <w:i/>
                <w:iCs/>
                <w:color w:val="5A5A5A"/>
                <w:sz w:val="17"/>
                <w:szCs w:val="17"/>
              </w:rPr>
              <w:t xml:space="preserve">Abu Dhabi, UAE</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Built the PMO function for Responsible AI, leveraging SharePoint, Power BI, MS Copilot Studio and bespoke agentic AI agents built on the full Claude suite of tools to automate reporting and data analysis; the function spans Finance, Procurement, Training, Vendor/Partner Management and Project &amp; Programme management, integrated across all G42 affiliate organisations.</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Delivered the AMD MI300X GPU-based “Maximus” cluster at the Buffalo, New York facility — ranked #20 globally on the TOP500 (Nov 2025).</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Delivered an Nvidia DGX 5 SU 1,272-GPU AI training cluster — ranked 25th fastest in the world and fastest in EMEA (Nov 2024) — navigating US export controls on restricted technology to deliver a secure, compliant solution on a BCM and Slurm stack.</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Delivered a Dell HGX 5 SU 1,272-GPU multitenant cluster, ready for customer-tailored technology stacks and use cases.</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Delivered data-centre power and facilities upgrades for NOC and SCIF environments, plus NET Group, VMware and Qualcomm POCs, strengthening ties with Cyber Security and Compliance teams to smooth AI platform delivery.</w:t>
            </w:r>
          </w:p>
          <w:p>
            <w:pPr>
              <w:spacing w:after="0" w:before="200"/>
            </w:pPr>
            <w:r>
              <w:rPr>
                <w:rFonts w:ascii="Calibri" w:cs="Calibri" w:eastAsia="Calibri" w:hAnsi="Calibri"/>
                <w:b/>
                <w:bCs/>
                <w:color w:val="1A1A1A"/>
                <w:sz w:val="22"/>
                <w:szCs w:val="22"/>
              </w:rPr>
              <w:t xml:space="preserve">Senior Delivery Manager</w:t>
            </w:r>
          </w:p>
          <w:p>
            <w:pPr>
              <w:tabs>
                <w:tab w:val="right" w:pos="6446"/>
              </w:tabs>
              <w:spacing w:after="50"/>
            </w:pPr>
            <w:r>
              <w:rPr>
                <w:rFonts w:ascii="Calibri" w:cs="Calibri" w:eastAsia="Calibri" w:hAnsi="Calibri"/>
                <w:b/>
                <w:bCs/>
                <w:color w:val="0F6E6E"/>
                <w:sz w:val="19"/>
                <w:szCs w:val="19"/>
              </w:rPr>
              <w:t xml:space="preserve">Emirates NBD (ENBD)</w:t>
            </w:r>
            <w:r>
              <w:rPr>
                <w:rFonts w:ascii="Calibri" w:cs="Calibri" w:eastAsia="Calibri" w:hAnsi="Calibri"/>
                <w:color w:val="5A5A5A"/>
                <w:sz w:val="17"/>
                <w:szCs w:val="17"/>
              </w:rPr>
              <w:t xml:space="preserve">	Jan 2021 – Jul 2023</w:t>
            </w:r>
          </w:p>
          <w:p>
            <w:pPr>
              <w:spacing w:after="50"/>
            </w:pPr>
            <w:r>
              <w:rPr>
                <w:rFonts w:ascii="Calibri" w:cs="Calibri" w:eastAsia="Calibri" w:hAnsi="Calibri"/>
                <w:i/>
                <w:iCs/>
                <w:color w:val="5A5A5A"/>
                <w:sz w:val="17"/>
                <w:szCs w:val="17"/>
              </w:rPr>
              <w:t xml:space="preserve">Dubai, UAE</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Led implementation of the SAS Fraud Management System across the bank’s customer channels, delivering the fraud engine into ENBD’s backend systems and integrating with customer-facing channels for real-time fraud detection and prevention.</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Instigated and oversaw the transition of fraud-management delivery from Waterfall to Agile, focusing on a business-value-driven approach that delivered benefits sooner and incrementally.</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Managed delivery of a new PEP screening platform to flag banking risk from politically exposed persons and company entities.</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Completed the Call Centre Operations technical refresh across UAE and KSA with no interruption to service.</w:t>
            </w:r>
          </w:p>
          <w:p>
            <w:pPr>
              <w:spacing w:after="0" w:before="200"/>
            </w:pPr>
            <w:r>
              <w:rPr>
                <w:rFonts w:ascii="Calibri" w:cs="Calibri" w:eastAsia="Calibri" w:hAnsi="Calibri"/>
                <w:b/>
                <w:bCs/>
                <w:color w:val="1A1A1A"/>
                <w:sz w:val="22"/>
                <w:szCs w:val="22"/>
              </w:rPr>
              <w:t xml:space="preserve">Programme Manager</w:t>
            </w:r>
          </w:p>
          <w:p>
            <w:pPr>
              <w:tabs>
                <w:tab w:val="right" w:pos="6446"/>
              </w:tabs>
              <w:spacing w:after="50"/>
            </w:pPr>
            <w:r>
              <w:rPr>
                <w:rFonts w:ascii="Calibri" w:cs="Calibri" w:eastAsia="Calibri" w:hAnsi="Calibri"/>
                <w:b/>
                <w:bCs/>
                <w:color w:val="0F6E6E"/>
                <w:sz w:val="19"/>
                <w:szCs w:val="19"/>
              </w:rPr>
              <w:t xml:space="preserve">First Abu Dhabi Bank (FAB)</w:t>
            </w:r>
            <w:r>
              <w:rPr>
                <w:rFonts w:ascii="Calibri" w:cs="Calibri" w:eastAsia="Calibri" w:hAnsi="Calibri"/>
                <w:color w:val="5A5A5A"/>
                <w:sz w:val="17"/>
                <w:szCs w:val="17"/>
              </w:rPr>
              <w:t xml:space="preserve">	Sep 2020 – Dec 2020</w:t>
            </w:r>
          </w:p>
          <w:p>
            <w:pPr>
              <w:spacing w:after="50"/>
            </w:pPr>
            <w:r>
              <w:rPr>
                <w:rFonts w:ascii="Calibri" w:cs="Calibri" w:eastAsia="Calibri" w:hAnsi="Calibri"/>
                <w:i/>
                <w:iCs/>
                <w:color w:val="5A5A5A"/>
                <w:sz w:val="17"/>
                <w:szCs w:val="17"/>
              </w:rPr>
              <w:t xml:space="preserve">Abu Dhabi, UAE</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Delivery lead for the evaluation of the Global Markets service proposition — coordinating licence-level agreements, business requirements, impact analysis across all affected divisions, and the optimal delivery model, plan and cost estimates.</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Deputised for the Programme Director, running workshops with SVPs and MDs and establishing steering and working groups to cascade outcomes and secure executive direction.</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Wound down programme delivery elements once the evaluation gave the Board the clarity needed to make a prioritisation decision.</w:t>
            </w:r>
          </w:p>
          <w:p>
            <w:pPr>
              <w:spacing w:after="0" w:before="200"/>
            </w:pPr>
            <w:r>
              <w:rPr>
                <w:rFonts w:ascii="Calibri" w:cs="Calibri" w:eastAsia="Calibri" w:hAnsi="Calibri"/>
                <w:b/>
                <w:bCs/>
                <w:color w:val="1A1A1A"/>
                <w:sz w:val="22"/>
                <w:szCs w:val="22"/>
              </w:rPr>
              <w:t xml:space="preserve">Manager, Solutions Delivery</w:t>
            </w:r>
          </w:p>
          <w:p>
            <w:pPr>
              <w:tabs>
                <w:tab w:val="right" w:pos="6446"/>
              </w:tabs>
              <w:spacing w:after="50"/>
            </w:pPr>
            <w:r>
              <w:rPr>
                <w:rFonts w:ascii="Calibri" w:cs="Calibri" w:eastAsia="Calibri" w:hAnsi="Calibri"/>
                <w:b/>
                <w:bCs/>
                <w:color w:val="0F6E6E"/>
                <w:sz w:val="19"/>
                <w:szCs w:val="19"/>
              </w:rPr>
              <w:t xml:space="preserve">Emirates / dnata</w:t>
            </w:r>
            <w:r>
              <w:rPr>
                <w:rFonts w:ascii="Calibri" w:cs="Calibri" w:eastAsia="Calibri" w:hAnsi="Calibri"/>
                <w:color w:val="5A5A5A"/>
                <w:sz w:val="17"/>
                <w:szCs w:val="17"/>
              </w:rPr>
              <w:t xml:space="preserve">	Sep 2018 – Aug 2020</w:t>
            </w:r>
          </w:p>
          <w:p>
            <w:pPr>
              <w:spacing w:after="50"/>
            </w:pPr>
            <w:r>
              <w:rPr>
                <w:rFonts w:ascii="Calibri" w:cs="Calibri" w:eastAsia="Calibri" w:hAnsi="Calibri"/>
                <w:i/>
                <w:iCs/>
                <w:color w:val="5A5A5A"/>
                <w:sz w:val="17"/>
                <w:szCs w:val="17"/>
              </w:rPr>
              <w:t xml:space="preserve">Dubai, UAE</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Managed the IT Operations &amp; Safety portfolio, delivering application and platform simplification and automation for core flight services, reporting to VPs and the CTO.</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Directed IT transformation to increase value and drive down cost through an Agile approach, managing Capex and Opex streams to optimise spend across the delivery lifecycle.</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IT Lead for an ERP project for the dnata catering international business, aligning vendor delivery with the strategic IT roadmap to meet specific business ROI metrics.</w:t>
            </w:r>
          </w:p>
          <w:p>
            <w:pPr>
              <w:spacing w:after="0" w:before="200"/>
            </w:pPr>
            <w:r>
              <w:rPr>
                <w:rFonts w:ascii="Calibri" w:cs="Calibri" w:eastAsia="Calibri" w:hAnsi="Calibri"/>
                <w:b/>
                <w:bCs/>
                <w:color w:val="1A1A1A"/>
                <w:sz w:val="22"/>
                <w:szCs w:val="22"/>
              </w:rPr>
              <w:t xml:space="preserve">Senior Programme Manager (Consulting)</w:t>
            </w:r>
          </w:p>
          <w:p>
            <w:pPr>
              <w:tabs>
                <w:tab w:val="right" w:pos="6446"/>
              </w:tabs>
              <w:spacing w:after="50"/>
            </w:pPr>
            <w:r>
              <w:rPr>
                <w:rFonts w:ascii="Calibri" w:cs="Calibri" w:eastAsia="Calibri" w:hAnsi="Calibri"/>
                <w:b/>
                <w:bCs/>
                <w:color w:val="0F6E6E"/>
                <w:sz w:val="19"/>
                <w:szCs w:val="19"/>
              </w:rPr>
              <w:t xml:space="preserve">Microsoft / RBS</w:t>
            </w:r>
            <w:r>
              <w:rPr>
                <w:rFonts w:ascii="Calibri" w:cs="Calibri" w:eastAsia="Calibri" w:hAnsi="Calibri"/>
                <w:color w:val="5A5A5A"/>
                <w:sz w:val="17"/>
                <w:szCs w:val="17"/>
              </w:rPr>
              <w:t xml:space="preserve">	Mar 2017 – Aug 2018</w:t>
            </w:r>
          </w:p>
          <w:p>
            <w:pPr>
              <w:spacing w:after="50"/>
            </w:pPr>
            <w:r>
              <w:rPr>
                <w:rFonts w:ascii="Calibri" w:cs="Calibri" w:eastAsia="Calibri" w:hAnsi="Calibri"/>
                <w:i/>
                <w:iCs/>
                <w:color w:val="5A5A5A"/>
                <w:sz w:val="17"/>
                <w:szCs w:val="17"/>
              </w:rPr>
              <w:t xml:space="preserve">Edinburgh, UK</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Led architecture &amp; design, data migration and troubleshooting workstreams for the Active Directory Transformation Programme — service and data migration, and domain simplification and rationalisation.</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Implemented project-recovery approaches with Agile and Scrum to drive onshore and offshore teams to challenging payment deadlines.</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Owned systems discovery and data mapping of the entire RBS estate to inform the upgrade/migration approach for a £28m additional phase.</w:t>
            </w:r>
          </w:p>
          <w:p>
            <w:pPr>
              <w:spacing w:after="0" w:before="200"/>
            </w:pPr>
            <w:r>
              <w:rPr>
                <w:rFonts w:ascii="Calibri" w:cs="Calibri" w:eastAsia="Calibri" w:hAnsi="Calibri"/>
                <w:b/>
                <w:bCs/>
                <w:color w:val="1A1A1A"/>
                <w:sz w:val="22"/>
                <w:szCs w:val="22"/>
              </w:rPr>
              <w:t xml:space="preserve">Technology Programme Delivery Manager (Consulting)</w:t>
            </w:r>
          </w:p>
          <w:p>
            <w:pPr>
              <w:tabs>
                <w:tab w:val="right" w:pos="6446"/>
              </w:tabs>
              <w:spacing w:after="50"/>
            </w:pPr>
            <w:r>
              <w:rPr>
                <w:rFonts w:ascii="Calibri" w:cs="Calibri" w:eastAsia="Calibri" w:hAnsi="Calibri"/>
                <w:b/>
                <w:bCs/>
                <w:color w:val="0F6E6E"/>
                <w:sz w:val="19"/>
                <w:szCs w:val="19"/>
              </w:rPr>
              <w:t xml:space="preserve">Deloitte / Maersk</w:t>
            </w:r>
            <w:r>
              <w:rPr>
                <w:rFonts w:ascii="Calibri" w:cs="Calibri" w:eastAsia="Calibri" w:hAnsi="Calibri"/>
                <w:color w:val="5A5A5A"/>
                <w:sz w:val="17"/>
                <w:szCs w:val="17"/>
              </w:rPr>
              <w:t xml:space="preserve">	Sep 2016 – Feb 2017</w:t>
            </w:r>
          </w:p>
          <w:p>
            <w:pPr>
              <w:spacing w:after="50"/>
            </w:pPr>
            <w:r>
              <w:rPr>
                <w:rFonts w:ascii="Calibri" w:cs="Calibri" w:eastAsia="Calibri" w:hAnsi="Calibri"/>
                <w:i/>
                <w:iCs/>
                <w:color w:val="5A5A5A"/>
                <w:sz w:val="17"/>
                <w:szCs w:val="17"/>
              </w:rPr>
              <w:t xml:space="preserve">Copenhagen, Denmark</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Bridged business and technology to deliver lasting value through a major business-transformation programme for a global shipping client.</w:t>
            </w:r>
          </w:p>
          <w:p>
            <w:pPr>
              <w:spacing w:after="90"/>
              <w:ind w:left="180" w:hanging="180"/>
            </w:pPr>
            <w:r>
              <w:rPr>
                <w:rFonts w:ascii="Calibri" w:cs="Calibri" w:eastAsia="Calibri" w:hAnsi="Calibri"/>
                <w:color w:val="0F6E6E"/>
                <w:sz w:val="18"/>
                <w:szCs w:val="18"/>
              </w:rPr>
              <w:t xml:space="preserve">▪  </w:t>
            </w:r>
            <w:r>
              <w:rPr>
                <w:rFonts w:ascii="Calibri" w:cs="Calibri" w:eastAsia="Calibri" w:hAnsi="Calibri"/>
                <w:color w:val="1F1F1F"/>
                <w:sz w:val="18"/>
                <w:szCs w:val="18"/>
              </w:rPr>
              <w:t xml:space="preserve">Introduced best-practice programme and project management — including a hybrid Agile approach — to bring governance and control, and coached business and IT teams to raise organisational capability.</w:t>
            </w:r>
          </w:p>
          <w:p>
            <w:pPr>
              <w:spacing w:after="120" w:before="300"/>
            </w:pPr>
            <w:r>
              <w:drawing>
                <wp:inline distT="0" distB="0" distL="0" distR="0">
                  <wp:extent cx="39528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52875" cy="323850"/>
                          </a:xfrm>
                          <a:prstGeom prst="rect">
                            <a:avLst/>
                          </a:prstGeom>
                        </pic:spPr>
                      </pic:pic>
                    </a:graphicData>
                  </a:graphic>
                </wp:inline>
              </w:drawing>
            </w:r>
          </w:p>
          <w:p>
            <w:pPr>
              <w:tabs>
                <w:tab w:val="right" w:pos="6446"/>
              </w:tabs>
              <w:spacing w:after="0" w:before="120"/>
            </w:pPr>
            <w:r>
              <w:rPr>
                <w:rFonts w:ascii="Calibri" w:cs="Calibri" w:eastAsia="Calibri" w:hAnsi="Calibri"/>
                <w:b/>
                <w:bCs/>
                <w:color w:val="1A1A1A"/>
                <w:sz w:val="19"/>
                <w:szCs w:val="19"/>
              </w:rPr>
              <w:t xml:space="preserve">Programme Manager (Contract) — </w:t>
            </w:r>
            <w:r>
              <w:rPr>
                <w:rFonts w:ascii="Calibri" w:cs="Calibri" w:eastAsia="Calibri" w:hAnsi="Calibri"/>
                <w:b/>
                <w:bCs/>
                <w:color w:val="0F6E6E"/>
                <w:sz w:val="19"/>
                <w:szCs w:val="19"/>
              </w:rPr>
              <w:t xml:space="preserve">RBS</w:t>
            </w:r>
            <w:r>
              <w:rPr>
                <w:rFonts w:ascii="Calibri" w:cs="Calibri" w:eastAsia="Calibri" w:hAnsi="Calibri"/>
                <w:color w:val="5A5A5A"/>
                <w:sz w:val="16"/>
                <w:szCs w:val="16"/>
              </w:rPr>
              <w:t xml:space="preserve">	Feb 2015 – Aug 2016</w:t>
            </w:r>
          </w:p>
          <w:p>
            <w:pPr>
              <w:spacing w:after="70"/>
              <w:jc w:val="both"/>
            </w:pPr>
            <w:r>
              <w:rPr>
                <w:rFonts w:ascii="Calibri" w:cs="Calibri" w:eastAsia="Calibri" w:hAnsi="Calibri"/>
                <w:color w:val="333333"/>
                <w:sz w:val="18"/>
                <w:szCs w:val="18"/>
              </w:rPr>
              <w:t xml:space="preserve">Delivered new platforms for the RBS Core Banking Simplification programme on an Oracle Financials stack — systems build, data migration, performance/security testing and service migration — on time and to budget; troubleshot Pega/Hadoop/Informatica delivery for Data &amp; Analytics customer-decisioning channels.</w:t>
            </w:r>
          </w:p>
          <w:p>
            <w:pPr>
              <w:tabs>
                <w:tab w:val="right" w:pos="6446"/>
              </w:tabs>
              <w:spacing w:after="0" w:before="120"/>
            </w:pPr>
            <w:r>
              <w:rPr>
                <w:rFonts w:ascii="Calibri" w:cs="Calibri" w:eastAsia="Calibri" w:hAnsi="Calibri"/>
                <w:b/>
                <w:bCs/>
                <w:color w:val="1A1A1A"/>
                <w:sz w:val="19"/>
                <w:szCs w:val="19"/>
              </w:rPr>
              <w:t xml:space="preserve">Senior Project Manager (Contract) — </w:t>
            </w:r>
            <w:r>
              <w:rPr>
                <w:rFonts w:ascii="Calibri" w:cs="Calibri" w:eastAsia="Calibri" w:hAnsi="Calibri"/>
                <w:b/>
                <w:bCs/>
                <w:color w:val="0F6E6E"/>
                <w:sz w:val="19"/>
                <w:szCs w:val="19"/>
              </w:rPr>
              <w:t xml:space="preserve">Talisman-Sinopec</w:t>
            </w:r>
            <w:r>
              <w:rPr>
                <w:rFonts w:ascii="Calibri" w:cs="Calibri" w:eastAsia="Calibri" w:hAnsi="Calibri"/>
                <w:color w:val="5A5A5A"/>
                <w:sz w:val="16"/>
                <w:szCs w:val="16"/>
              </w:rPr>
              <w:t xml:space="preserve">	Oct 2014 – Jan 2015</w:t>
            </w:r>
          </w:p>
          <w:p>
            <w:pPr>
              <w:spacing w:after="70"/>
              <w:jc w:val="both"/>
            </w:pPr>
            <w:r>
              <w:rPr>
                <w:rFonts w:ascii="Calibri" w:cs="Calibri" w:eastAsia="Calibri" w:hAnsi="Calibri"/>
                <w:color w:val="333333"/>
                <w:sz w:val="18"/>
                <w:szCs w:val="18"/>
              </w:rPr>
              <w:t xml:space="preserve">Managed a portfolio spanning a company-wide Windows Vista→7 upgrade (onshore and offshore), RSA secure-login roll-out with business-process implementation, and initiation of a CMDB to manage the software estate.</w:t>
            </w:r>
          </w:p>
          <w:p>
            <w:pPr>
              <w:tabs>
                <w:tab w:val="right" w:pos="6446"/>
              </w:tabs>
              <w:spacing w:after="0" w:before="120"/>
            </w:pPr>
            <w:r>
              <w:rPr>
                <w:rFonts w:ascii="Calibri" w:cs="Calibri" w:eastAsia="Calibri" w:hAnsi="Calibri"/>
                <w:b/>
                <w:bCs/>
                <w:color w:val="1A1A1A"/>
                <w:sz w:val="19"/>
                <w:szCs w:val="19"/>
              </w:rPr>
              <w:t xml:space="preserve">Senior Project Manager (Contract) — </w:t>
            </w:r>
            <w:r>
              <w:rPr>
                <w:rFonts w:ascii="Calibri" w:cs="Calibri" w:eastAsia="Calibri" w:hAnsi="Calibri"/>
                <w:b/>
                <w:bCs/>
                <w:color w:val="0F6E6E"/>
                <w:sz w:val="19"/>
                <w:szCs w:val="19"/>
              </w:rPr>
              <w:t xml:space="preserve">HP (BP Account)</w:t>
            </w:r>
            <w:r>
              <w:rPr>
                <w:rFonts w:ascii="Calibri" w:cs="Calibri" w:eastAsia="Calibri" w:hAnsi="Calibri"/>
                <w:color w:val="5A5A5A"/>
                <w:sz w:val="16"/>
                <w:szCs w:val="16"/>
              </w:rPr>
              <w:t xml:space="preserve">	Nov 2012 – Sep 2014</w:t>
            </w:r>
          </w:p>
          <w:p>
            <w:pPr>
              <w:spacing w:after="70"/>
              <w:jc w:val="both"/>
            </w:pPr>
            <w:r>
              <w:rPr>
                <w:rFonts w:ascii="Calibri" w:cs="Calibri" w:eastAsia="Calibri" w:hAnsi="Calibri"/>
                <w:color w:val="333333"/>
                <w:sz w:val="18"/>
                <w:szCs w:val="18"/>
              </w:rPr>
              <w:t xml:space="preserve">Ran a diverse range of network, telecoms and security projects on the BP account across the UK, Azerbaijan and Oman — multi-discipline, multi-vendor teams delivered through the full BP CVP lifecycle.</w:t>
            </w:r>
          </w:p>
          <w:p>
            <w:pPr>
              <w:tabs>
                <w:tab w:val="right" w:pos="6446"/>
              </w:tabs>
              <w:spacing w:after="0" w:before="120"/>
            </w:pPr>
            <w:r>
              <w:rPr>
                <w:rFonts w:ascii="Calibri" w:cs="Calibri" w:eastAsia="Calibri" w:hAnsi="Calibri"/>
                <w:b/>
                <w:bCs/>
                <w:color w:val="1A1A1A"/>
                <w:sz w:val="19"/>
                <w:szCs w:val="19"/>
              </w:rPr>
              <w:t xml:space="preserve">Programme Manager (Contract) — </w:t>
            </w:r>
            <w:r>
              <w:rPr>
                <w:rFonts w:ascii="Calibri" w:cs="Calibri" w:eastAsia="Calibri" w:hAnsi="Calibri"/>
                <w:b/>
                <w:bCs/>
                <w:color w:val="0F6E6E"/>
                <w:sz w:val="19"/>
                <w:szCs w:val="19"/>
              </w:rPr>
              <w:t xml:space="preserve">RBS</w:t>
            </w:r>
            <w:r>
              <w:rPr>
                <w:rFonts w:ascii="Calibri" w:cs="Calibri" w:eastAsia="Calibri" w:hAnsi="Calibri"/>
                <w:color w:val="5A5A5A"/>
                <w:sz w:val="16"/>
                <w:szCs w:val="16"/>
              </w:rPr>
              <w:t xml:space="preserve">	Aug 2011 – Oct 2012</w:t>
            </w:r>
          </w:p>
          <w:p>
            <w:pPr>
              <w:spacing w:after="70"/>
              <w:jc w:val="both"/>
            </w:pPr>
            <w:r>
              <w:rPr>
                <w:rFonts w:ascii="Calibri" w:cs="Calibri" w:eastAsia="Calibri" w:hAnsi="Calibri"/>
                <w:color w:val="333333"/>
                <w:sz w:val="18"/>
                <w:szCs w:val="18"/>
              </w:rPr>
              <w:t xml:space="preserve">Managed platform architecture and design workstreams for the RBS Core Banking Simplification programme (Oracle Financials for Finance, Risk and Treasury), leading multi-vendor SME design teams across dev/test/prod/DR. Budget of £10m’s.</w:t>
            </w:r>
          </w:p>
          <w:p>
            <w:pPr>
              <w:tabs>
                <w:tab w:val="right" w:pos="6446"/>
              </w:tabs>
              <w:spacing w:after="0" w:before="120"/>
            </w:pPr>
            <w:r>
              <w:rPr>
                <w:rFonts w:ascii="Calibri" w:cs="Calibri" w:eastAsia="Calibri" w:hAnsi="Calibri"/>
                <w:b/>
                <w:bCs/>
                <w:color w:val="1A1A1A"/>
                <w:sz w:val="19"/>
                <w:szCs w:val="19"/>
              </w:rPr>
              <w:t xml:space="preserve">Technical Delivery Manager (Contract) — </w:t>
            </w:r>
            <w:r>
              <w:rPr>
                <w:rFonts w:ascii="Calibri" w:cs="Calibri" w:eastAsia="Calibri" w:hAnsi="Calibri"/>
                <w:b/>
                <w:bCs/>
                <w:color w:val="0F6E6E"/>
                <w:sz w:val="19"/>
                <w:szCs w:val="19"/>
              </w:rPr>
              <w:t xml:space="preserve">Lloyds Banking Group</w:t>
            </w:r>
            <w:r>
              <w:rPr>
                <w:rFonts w:ascii="Calibri" w:cs="Calibri" w:eastAsia="Calibri" w:hAnsi="Calibri"/>
                <w:color w:val="5A5A5A"/>
                <w:sz w:val="16"/>
                <w:szCs w:val="16"/>
              </w:rPr>
              <w:t xml:space="preserve">	Jun 2010 – Aug 2011</w:t>
            </w:r>
          </w:p>
          <w:p>
            <w:pPr>
              <w:spacing w:after="70"/>
              <w:jc w:val="both"/>
            </w:pPr>
            <w:r>
              <w:rPr>
                <w:rFonts w:ascii="Calibri" w:cs="Calibri" w:eastAsia="Calibri" w:hAnsi="Calibri"/>
                <w:color w:val="333333"/>
                <w:sz w:val="18"/>
                <w:szCs w:val="18"/>
              </w:rPr>
              <w:t xml:space="preserve">Ran a portfolio of Retail Banking projects for Group IT Service Delivery — desktop &amp; telecoms roll-out, software packaging/deployment, mainframe batch, and Unix/VMware midrange upgrades.</w:t>
            </w:r>
          </w:p>
          <w:p>
            <w:pPr>
              <w:tabs>
                <w:tab w:val="right" w:pos="6446"/>
              </w:tabs>
              <w:spacing w:after="0" w:before="120"/>
            </w:pPr>
            <w:r>
              <w:rPr>
                <w:rFonts w:ascii="Calibri" w:cs="Calibri" w:eastAsia="Calibri" w:hAnsi="Calibri"/>
                <w:b/>
                <w:bCs/>
                <w:color w:val="1A1A1A"/>
                <w:sz w:val="19"/>
                <w:szCs w:val="19"/>
              </w:rPr>
              <w:t xml:space="preserve">Delivery Project Manager (Contract) — </w:t>
            </w:r>
            <w:r>
              <w:rPr>
                <w:rFonts w:ascii="Calibri" w:cs="Calibri" w:eastAsia="Calibri" w:hAnsi="Calibri"/>
                <w:b/>
                <w:bCs/>
                <w:color w:val="0F6E6E"/>
                <w:sz w:val="19"/>
                <w:szCs w:val="19"/>
              </w:rPr>
              <w:t xml:space="preserve">Thomson Reuters</w:t>
            </w:r>
            <w:r>
              <w:rPr>
                <w:rFonts w:ascii="Calibri" w:cs="Calibri" w:eastAsia="Calibri" w:hAnsi="Calibri"/>
                <w:color w:val="5A5A5A"/>
                <w:sz w:val="16"/>
                <w:szCs w:val="16"/>
              </w:rPr>
              <w:t xml:space="preserve">	Jun 2009 – May 2010</w:t>
            </w:r>
          </w:p>
          <w:p>
            <w:pPr>
              <w:spacing w:after="70"/>
              <w:jc w:val="both"/>
            </w:pPr>
            <w:r>
              <w:rPr>
                <w:rFonts w:ascii="Calibri" w:cs="Calibri" w:eastAsia="Calibri" w:hAnsi="Calibri"/>
                <w:color w:val="333333"/>
                <w:sz w:val="18"/>
                <w:szCs w:val="18"/>
              </w:rPr>
              <w:t xml:space="preserve">Led migration of DataStream services and IBM mainframe and satellite systems between data centres, and a feasibility study for migrating services to international data centres.</w:t>
            </w:r>
          </w:p>
          <w:p>
            <w:pPr>
              <w:tabs>
                <w:tab w:val="right" w:pos="6446"/>
              </w:tabs>
              <w:spacing w:after="0" w:before="120"/>
            </w:pPr>
            <w:r>
              <w:rPr>
                <w:rFonts w:ascii="Calibri" w:cs="Calibri" w:eastAsia="Calibri" w:hAnsi="Calibri"/>
                <w:b/>
                <w:bCs/>
                <w:color w:val="1A1A1A"/>
                <w:sz w:val="19"/>
                <w:szCs w:val="19"/>
              </w:rPr>
              <w:t xml:space="preserve">Project Manager (Contract) — </w:t>
            </w:r>
            <w:r>
              <w:rPr>
                <w:rFonts w:ascii="Calibri" w:cs="Calibri" w:eastAsia="Calibri" w:hAnsi="Calibri"/>
                <w:b/>
                <w:bCs/>
                <w:color w:val="0F6E6E"/>
                <w:sz w:val="19"/>
                <w:szCs w:val="19"/>
              </w:rPr>
              <w:t xml:space="preserve">Vocalink</w:t>
            </w:r>
            <w:r>
              <w:rPr>
                <w:rFonts w:ascii="Calibri" w:cs="Calibri" w:eastAsia="Calibri" w:hAnsi="Calibri"/>
                <w:color w:val="5A5A5A"/>
                <w:sz w:val="16"/>
                <w:szCs w:val="16"/>
              </w:rPr>
              <w:t xml:space="preserve">	2009</w:t>
            </w:r>
          </w:p>
          <w:p>
            <w:pPr>
              <w:spacing w:after="70"/>
              <w:jc w:val="both"/>
            </w:pPr>
            <w:r>
              <w:rPr>
                <w:rFonts w:ascii="Calibri" w:cs="Calibri" w:eastAsia="Calibri" w:hAnsi="Calibri"/>
                <w:color w:val="333333"/>
                <w:sz w:val="18"/>
                <w:szCs w:val="18"/>
              </w:rPr>
              <w:t xml:space="preserve">Feasibility for data-centre consolidation and migration of FPS, ATM and Cards services to CPNI standards.</w:t>
            </w:r>
          </w:p>
          <w:p>
            <w:pPr>
              <w:tabs>
                <w:tab w:val="right" w:pos="6446"/>
              </w:tabs>
              <w:spacing w:after="0" w:before="120"/>
            </w:pPr>
            <w:r>
              <w:rPr>
                <w:rFonts w:ascii="Calibri" w:cs="Calibri" w:eastAsia="Calibri" w:hAnsi="Calibri"/>
                <w:b/>
                <w:bCs/>
                <w:color w:val="1A1A1A"/>
                <w:sz w:val="19"/>
                <w:szCs w:val="19"/>
              </w:rPr>
              <w:t xml:space="preserve">Programme Manager (Consulting) — </w:t>
            </w:r>
            <w:r>
              <w:rPr>
                <w:rFonts w:ascii="Calibri" w:cs="Calibri" w:eastAsia="Calibri" w:hAnsi="Calibri"/>
                <w:b/>
                <w:bCs/>
                <w:color w:val="0F6E6E"/>
                <w:sz w:val="19"/>
                <w:szCs w:val="19"/>
              </w:rPr>
              <w:t xml:space="preserve">Anglo Irish Bank</w:t>
            </w:r>
            <w:r>
              <w:rPr>
                <w:rFonts w:ascii="Calibri" w:cs="Calibri" w:eastAsia="Calibri" w:hAnsi="Calibri"/>
                <w:color w:val="5A5A5A"/>
                <w:sz w:val="16"/>
                <w:szCs w:val="16"/>
              </w:rPr>
              <w:t xml:space="preserve">	2008</w:t>
            </w:r>
          </w:p>
          <w:p>
            <w:pPr>
              <w:spacing w:after="70"/>
              <w:jc w:val="both"/>
            </w:pPr>
            <w:r>
              <w:rPr>
                <w:rFonts w:ascii="Calibri" w:cs="Calibri" w:eastAsia="Calibri" w:hAnsi="Calibri"/>
                <w:color w:val="333333"/>
                <w:sz w:val="18"/>
                <w:szCs w:val="18"/>
              </w:rPr>
              <w:t xml:space="preserve">Consolidated, virtualised infrastructure and data migration to a new data centre; €3.2m, 3-vendor delivery (Dell, EMC, SureSkills).</w:t>
            </w:r>
          </w:p>
          <w:p>
            <w:pPr>
              <w:tabs>
                <w:tab w:val="right" w:pos="6446"/>
              </w:tabs>
              <w:spacing w:after="0" w:before="120"/>
            </w:pPr>
            <w:r>
              <w:rPr>
                <w:rFonts w:ascii="Calibri" w:cs="Calibri" w:eastAsia="Calibri" w:hAnsi="Calibri"/>
                <w:b/>
                <w:bCs/>
                <w:color w:val="1A1A1A"/>
                <w:sz w:val="19"/>
                <w:szCs w:val="19"/>
              </w:rPr>
              <w:t xml:space="preserve">Programme Manager (Contract) — </w:t>
            </w:r>
            <w:r>
              <w:rPr>
                <w:rFonts w:ascii="Calibri" w:cs="Calibri" w:eastAsia="Calibri" w:hAnsi="Calibri"/>
                <w:b/>
                <w:bCs/>
                <w:color w:val="0F6E6E"/>
                <w:sz w:val="19"/>
                <w:szCs w:val="19"/>
              </w:rPr>
              <w:t xml:space="preserve">Level (3) Communications</w:t>
            </w:r>
            <w:r>
              <w:rPr>
                <w:rFonts w:ascii="Calibri" w:cs="Calibri" w:eastAsia="Calibri" w:hAnsi="Calibri"/>
                <w:color w:val="5A5A5A"/>
                <w:sz w:val="16"/>
                <w:szCs w:val="16"/>
              </w:rPr>
              <w:t xml:space="preserve">	2007 – 2008</w:t>
            </w:r>
          </w:p>
          <w:p>
            <w:pPr>
              <w:spacing w:after="70"/>
              <w:jc w:val="both"/>
            </w:pPr>
            <w:r>
              <w:rPr>
                <w:rFonts w:ascii="Calibri" w:cs="Calibri" w:eastAsia="Calibri" w:hAnsi="Calibri"/>
                <w:color w:val="333333"/>
                <w:sz w:val="18"/>
                <w:szCs w:val="18"/>
              </w:rPr>
              <w:t xml:space="preserve">European CDN roll-out and a $20m critical-plant upgrade at two major data centres, including EDF Energy mains-supply negotiations.</w:t>
            </w:r>
          </w:p>
          <w:p>
            <w:pPr>
              <w:tabs>
                <w:tab w:val="right" w:pos="6446"/>
              </w:tabs>
              <w:spacing w:after="0" w:before="120"/>
            </w:pPr>
            <w:r>
              <w:rPr>
                <w:rFonts w:ascii="Calibri" w:cs="Calibri" w:eastAsia="Calibri" w:hAnsi="Calibri"/>
                <w:b/>
                <w:bCs/>
                <w:color w:val="1A1A1A"/>
                <w:sz w:val="19"/>
                <w:szCs w:val="19"/>
              </w:rPr>
              <w:t xml:space="preserve">Portfolio Manager (Contract) — </w:t>
            </w:r>
            <w:r>
              <w:rPr>
                <w:rFonts w:ascii="Calibri" w:cs="Calibri" w:eastAsia="Calibri" w:hAnsi="Calibri"/>
                <w:b/>
                <w:bCs/>
                <w:color w:val="0F6E6E"/>
                <w:sz w:val="19"/>
                <w:szCs w:val="19"/>
              </w:rPr>
              <w:t xml:space="preserve">ScottishPower</w:t>
            </w:r>
            <w:r>
              <w:rPr>
                <w:rFonts w:ascii="Calibri" w:cs="Calibri" w:eastAsia="Calibri" w:hAnsi="Calibri"/>
                <w:color w:val="5A5A5A"/>
                <w:sz w:val="16"/>
                <w:szCs w:val="16"/>
              </w:rPr>
              <w:t xml:space="preserve">	2006 – 2007</w:t>
            </w:r>
          </w:p>
          <w:p>
            <w:pPr>
              <w:spacing w:after="70"/>
              <w:jc w:val="both"/>
            </w:pPr>
            <w:r>
              <w:rPr>
                <w:rFonts w:ascii="Calibri" w:cs="Calibri" w:eastAsia="Calibri" w:hAnsi="Calibri"/>
                <w:color w:val="333333"/>
                <w:sz w:val="18"/>
                <w:szCs w:val="18"/>
              </w:rPr>
              <w:t xml:space="preserve">Prodacapo and Primavera roll-outs plus a portfolio of Cisco WAN/LAN and IP-telephony/videoconference projects across the UK and USA.</w:t>
            </w:r>
          </w:p>
          <w:p>
            <w:pPr>
              <w:tabs>
                <w:tab w:val="right" w:pos="6446"/>
              </w:tabs>
              <w:spacing w:after="0" w:before="120"/>
            </w:pPr>
            <w:r>
              <w:rPr>
                <w:rFonts w:ascii="Calibri" w:cs="Calibri" w:eastAsia="Calibri" w:hAnsi="Calibri"/>
                <w:b/>
                <w:bCs/>
                <w:color w:val="1A1A1A"/>
                <w:sz w:val="19"/>
                <w:szCs w:val="19"/>
              </w:rPr>
              <w:t xml:space="preserve">Project Manager (Contract) — </w:t>
            </w:r>
            <w:r>
              <w:rPr>
                <w:rFonts w:ascii="Calibri" w:cs="Calibri" w:eastAsia="Calibri" w:hAnsi="Calibri"/>
                <w:b/>
                <w:bCs/>
                <w:color w:val="0F6E6E"/>
                <w:sz w:val="19"/>
                <w:szCs w:val="19"/>
              </w:rPr>
              <w:t xml:space="preserve">Capital One</w:t>
            </w:r>
            <w:r>
              <w:rPr>
                <w:rFonts w:ascii="Calibri" w:cs="Calibri" w:eastAsia="Calibri" w:hAnsi="Calibri"/>
                <w:color w:val="5A5A5A"/>
                <w:sz w:val="16"/>
                <w:szCs w:val="16"/>
              </w:rPr>
              <w:t xml:space="preserve">	2006</w:t>
            </w:r>
          </w:p>
          <w:p>
            <w:pPr>
              <w:spacing w:after="70"/>
              <w:jc w:val="both"/>
            </w:pPr>
            <w:r>
              <w:rPr>
                <w:rFonts w:ascii="Calibri" w:cs="Calibri" w:eastAsia="Calibri" w:hAnsi="Calibri"/>
                <w:color w:val="333333"/>
                <w:sz w:val="18"/>
                <w:szCs w:val="18"/>
              </w:rPr>
              <w:t xml:space="preserve">Delivered the contract workstream of a £14m, 4-year IBM data-centre services programme — Heads of Terms, SOWs and contract schedules.</w:t>
            </w:r>
          </w:p>
          <w:p>
            <w:pPr>
              <w:tabs>
                <w:tab w:val="right" w:pos="6446"/>
              </w:tabs>
              <w:spacing w:after="0" w:before="120"/>
            </w:pPr>
            <w:r>
              <w:rPr>
                <w:rFonts w:ascii="Calibri" w:cs="Calibri" w:eastAsia="Calibri" w:hAnsi="Calibri"/>
                <w:b/>
                <w:bCs/>
                <w:color w:val="1A1A1A"/>
                <w:sz w:val="19"/>
                <w:szCs w:val="19"/>
              </w:rPr>
              <w:t xml:space="preserve">Project Manager (Contract) — </w:t>
            </w:r>
            <w:r>
              <w:rPr>
                <w:rFonts w:ascii="Calibri" w:cs="Calibri" w:eastAsia="Calibri" w:hAnsi="Calibri"/>
                <w:b/>
                <w:bCs/>
                <w:color w:val="0F6E6E"/>
                <w:sz w:val="19"/>
                <w:szCs w:val="19"/>
              </w:rPr>
              <w:t xml:space="preserve">Aviva / Norwich Union</w:t>
            </w:r>
            <w:r>
              <w:rPr>
                <w:rFonts w:ascii="Calibri" w:cs="Calibri" w:eastAsia="Calibri" w:hAnsi="Calibri"/>
                <w:color w:val="5A5A5A"/>
                <w:sz w:val="16"/>
                <w:szCs w:val="16"/>
              </w:rPr>
              <w:t xml:space="preserve">	2005</w:t>
            </w:r>
          </w:p>
          <w:p>
            <w:pPr>
              <w:spacing w:after="70"/>
              <w:jc w:val="both"/>
            </w:pPr>
            <w:r>
              <w:rPr>
                <w:rFonts w:ascii="Calibri" w:cs="Calibri" w:eastAsia="Calibri" w:hAnsi="Calibri"/>
                <w:color w:val="333333"/>
                <w:sz w:val="18"/>
                <w:szCs w:val="18"/>
              </w:rPr>
              <w:t xml:space="preserve">Server consolidation to reduce legacy risk, tiered SLAs and a “pay for use” model, plus DR data-centre migration.</w:t>
            </w:r>
          </w:p>
          <w:p>
            <w:pPr>
              <w:tabs>
                <w:tab w:val="right" w:pos="6446"/>
              </w:tabs>
              <w:spacing w:after="0" w:before="120"/>
            </w:pPr>
            <w:r>
              <w:rPr>
                <w:rFonts w:ascii="Calibri" w:cs="Calibri" w:eastAsia="Calibri" w:hAnsi="Calibri"/>
                <w:b/>
                <w:bCs/>
                <w:color w:val="1A1A1A"/>
                <w:sz w:val="19"/>
                <w:szCs w:val="19"/>
              </w:rPr>
              <w:t xml:space="preserve">Delivery Manager (Contract) — </w:t>
            </w:r>
            <w:r>
              <w:rPr>
                <w:rFonts w:ascii="Calibri" w:cs="Calibri" w:eastAsia="Calibri" w:hAnsi="Calibri"/>
                <w:b/>
                <w:bCs/>
                <w:color w:val="0F6E6E"/>
                <w:sz w:val="19"/>
                <w:szCs w:val="19"/>
              </w:rPr>
              <w:t xml:space="preserve">Littlewoods / Shop Direct</w:t>
            </w:r>
            <w:r>
              <w:rPr>
                <w:rFonts w:ascii="Calibri" w:cs="Calibri" w:eastAsia="Calibri" w:hAnsi="Calibri"/>
                <w:color w:val="5A5A5A"/>
                <w:sz w:val="16"/>
                <w:szCs w:val="16"/>
              </w:rPr>
              <w:t xml:space="preserve">	2005</w:t>
            </w:r>
          </w:p>
          <w:p>
            <w:pPr>
              <w:spacing w:after="70"/>
              <w:jc w:val="both"/>
            </w:pPr>
            <w:r>
              <w:rPr>
                <w:rFonts w:ascii="Calibri" w:cs="Calibri" w:eastAsia="Calibri" w:hAnsi="Calibri"/>
                <w:color w:val="333333"/>
                <w:sz w:val="18"/>
                <w:szCs w:val="18"/>
              </w:rPr>
              <w:t xml:space="preserve">Infrastructure, migration and application-testing delivery for mainframe consolidation to a new data centre.</w:t>
            </w:r>
          </w:p>
          <w:p>
            <w:pPr>
              <w:tabs>
                <w:tab w:val="right" w:pos="6446"/>
              </w:tabs>
              <w:spacing w:after="0" w:before="120"/>
            </w:pPr>
            <w:r>
              <w:rPr>
                <w:rFonts w:ascii="Calibri" w:cs="Calibri" w:eastAsia="Calibri" w:hAnsi="Calibri"/>
                <w:b/>
                <w:bCs/>
                <w:color w:val="1A1A1A"/>
                <w:sz w:val="19"/>
                <w:szCs w:val="19"/>
              </w:rPr>
              <w:t xml:space="preserve">Programme Manager — </w:t>
            </w:r>
            <w:r>
              <w:rPr>
                <w:rFonts w:ascii="Calibri" w:cs="Calibri" w:eastAsia="Calibri" w:hAnsi="Calibri"/>
                <w:b/>
                <w:bCs/>
                <w:color w:val="0F6E6E"/>
                <w:sz w:val="19"/>
                <w:szCs w:val="19"/>
              </w:rPr>
              <w:t xml:space="preserve">Vodafone</w:t>
            </w:r>
            <w:r>
              <w:rPr>
                <w:rFonts w:ascii="Calibri" w:cs="Calibri" w:eastAsia="Calibri" w:hAnsi="Calibri"/>
                <w:color w:val="5A5A5A"/>
                <w:sz w:val="16"/>
                <w:szCs w:val="16"/>
              </w:rPr>
              <w:t xml:space="preserve">	1999 – 2005</w:t>
            </w:r>
          </w:p>
          <w:p>
            <w:pPr>
              <w:spacing w:after="70"/>
              <w:jc w:val="both"/>
            </w:pPr>
            <w:r>
              <w:rPr>
                <w:rFonts w:ascii="Calibri" w:cs="Calibri" w:eastAsia="Calibri" w:hAnsi="Calibri"/>
                <w:color w:val="333333"/>
                <w:sz w:val="18"/>
                <w:szCs w:val="18"/>
              </w:rPr>
              <w:t xml:space="preserve">Full financial and technical ownership of IS projects (£28k–£96m), including data-centre migrations, MIS/EPoS development and the UK-wide NT→AD migration; teams of up to 100 and 3 vendors.</w:t>
            </w:r>
          </w:p>
          <w:p>
            <w:pPr>
              <w:tabs>
                <w:tab w:val="right" w:pos="6446"/>
              </w:tabs>
              <w:spacing w:after="0" w:before="120"/>
            </w:pPr>
            <w:r>
              <w:rPr>
                <w:rFonts w:ascii="Calibri" w:cs="Calibri" w:eastAsia="Calibri" w:hAnsi="Calibri"/>
                <w:b/>
                <w:bCs/>
                <w:color w:val="1A1A1A"/>
                <w:sz w:val="19"/>
                <w:szCs w:val="19"/>
              </w:rPr>
              <w:t xml:space="preserve">IT / Data Services Manager — </w:t>
            </w:r>
            <w:r>
              <w:rPr>
                <w:rFonts w:ascii="Calibri" w:cs="Calibri" w:eastAsia="Calibri" w:hAnsi="Calibri"/>
                <w:b/>
                <w:bCs/>
                <w:color w:val="0F6E6E"/>
                <w:sz w:val="19"/>
                <w:szCs w:val="19"/>
              </w:rPr>
              <w:t xml:space="preserve">Petroconsultants</w:t>
            </w:r>
            <w:r>
              <w:rPr>
                <w:rFonts w:ascii="Calibri" w:cs="Calibri" w:eastAsia="Calibri" w:hAnsi="Calibri"/>
                <w:color w:val="5A5A5A"/>
                <w:sz w:val="16"/>
                <w:szCs w:val="16"/>
              </w:rPr>
              <w:t xml:space="preserve">	1995 – 1999</w:t>
            </w:r>
          </w:p>
          <w:p>
            <w:pPr>
              <w:spacing w:after="70"/>
              <w:jc w:val="both"/>
            </w:pPr>
            <w:r>
              <w:rPr>
                <w:rFonts w:ascii="Calibri" w:cs="Calibri" w:eastAsia="Calibri" w:hAnsi="Calibri"/>
                <w:color w:val="333333"/>
                <w:sz w:val="18"/>
                <w:szCs w:val="18"/>
              </w:rPr>
              <w:t xml:space="preserve">Designed and ran the entire UK IT/IS infrastructure; moved the business from hardcopy to a fully digital practice; delivered document-management and web-based sales/data-delivery applications.</w:t>
            </w:r>
          </w:p>
        </w:tc>
      </w:tr>
    </w:tbl>
    <w:sectPr>
      <w:headerReference w:type="default" r:id="rId7"/>
      <w:pgSz w:w="11906" w:h="16838" w:orient="portrait"/>
      <w:pgMar w:top="640" w:right="1000" w:bottom="6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9896475">
          <wp:simplePos x="0" y="0"/>
          <wp:positionH relativeFrom="page">
            <wp:posOffset>635000</wp:posOffset>
          </wp:positionH>
          <wp:positionV relativeFrom="page">
            <wp:posOffset>406400</wp:posOffset>
          </wp:positionV>
          <wp:extent cx="2095500" cy="98964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0" cy="98964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xmttbdxrxdxqrdllwddfo" Type="http://schemas.openxmlformats.org/officeDocument/2006/relationships/hyperlink" Target="mailto:drcolvin@yahoo.com" TargetMode="External"/><Relationship Id="rIdbx6wxjccl4vnp09caihu9" Type="http://schemas.openxmlformats.org/officeDocument/2006/relationships/hyperlink" Target="https://www.linkedin.com/in/douglascolvin/" TargetMode="External"/><Relationship Id="rId8" Type="http://schemas.openxmlformats.org/officeDocument/2006/relationships/image" Target="media/c18d55c8a5fd23c53637f1c7e51809b9c9a9baf5.png"/><Relationship Id="rId9" Type="http://schemas.openxmlformats.org/officeDocument/2006/relationships/image" Target="media/a20a5ff718e27c9b029f872af456069f316f395c.png"/><Relationship Id="rId10" Type="http://schemas.openxmlformats.org/officeDocument/2006/relationships/image" Target="media/9b2542df60f728068d74da4f399e34aab711cbb9.png"/><Relationship Id="rId11" Type="http://schemas.openxmlformats.org/officeDocument/2006/relationships/image" Target="media/d0afd01b9a29c7f1d29a8e1f9cdc2fb2eceaeb97.png"/><Relationship Id="rId12" Type="http://schemas.openxmlformats.org/officeDocument/2006/relationships/image" Target="media/9d47c469dbf7aa77efdffc37a3c9804f9b37abef.png"/><Relationship Id="rId13" Type="http://schemas.openxmlformats.org/officeDocument/2006/relationships/image" Target="media/d536df7ac96b513a8ee3703266dd8cc049292cb2.png"/><Relationship Id="rId14" Type="http://schemas.openxmlformats.org/officeDocument/2006/relationships/image" Target="media/b72fffbcbf0717c14cefee1558493f18b6ed863e.png"/><Relationship Id="rId15" Type="http://schemas.openxmlformats.org/officeDocument/2006/relationships/image" Target="media/a67618e30a8f5c862c700ce1de61f7bf90b2209d.png"/><Relationship Id="rId16" Type="http://schemas.openxmlformats.org/officeDocument/2006/relationships/image" Target="media/db51c82b2553102c0f0a6eea3e39ea9d8e28e563.png"/><Relationship Id="rId17" Type="http://schemas.openxmlformats.org/officeDocument/2006/relationships/image" Target="media/93f91286e663a21c8b4645f398658901929c97e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652d1021e9a854ca21c097d5de1899805d4df7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Douglas Colvin — CV</dc:title>
  <dc:creator>Douglas Colvin</dc:creator>
  <cp:lastModifiedBy>Un-named</cp:lastModifiedBy>
  <cp:revision>1</cp:revision>
  <dcterms:created xsi:type="dcterms:W3CDTF">2026-07-23T16:48:36.903Z</dcterms:created>
  <dcterms:modified xsi:type="dcterms:W3CDTF">2026-07-23T16:48:36.903Z</dcterms:modified>
</cp:coreProperties>
</file>

<file path=docProps/custom.xml><?xml version="1.0" encoding="utf-8"?>
<Properties xmlns="http://schemas.openxmlformats.org/officeDocument/2006/custom-properties" xmlns:vt="http://schemas.openxmlformats.org/officeDocument/2006/docPropsVTypes"/>
</file>