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PMO SERVICE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Architecture &amp; Design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Technical design of the P3MAI PMO Service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DOC-01 — Architecture &amp; Design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v1.1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6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PMO Service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2026-08-06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Front-door move: served at apps.p3mai.com/pmo (APP_BASE=/pmo/), legacy app.p3mai.com 301s; CI + Dependabot; optional Sentry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Executive summary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PMO Service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an internal project-management-office tool for P3MAI. It tracks </w:t>
      </w:r>
      <w:r>
        <w:rPr>
          <w:rFonts w:ascii="Segoe UI" w:hAnsi="Segoe UI" w:cs="Segoe UI"/>
          <w:b/>
          <w:i w:val="0"/>
          <w:color w:val="1C2B3A"/>
          <w:sz w:val="22"/>
        </w:rPr>
        <w:t>projects, milestones, resources, allocations and risks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and rolls them up into a </w:t>
      </w:r>
      <w:r>
        <w:rPr>
          <w:rFonts w:ascii="Segoe UI" w:hAnsi="Segoe UI" w:cs="Segoe UI"/>
          <w:b/>
          <w:i w:val="0"/>
          <w:color w:val="1C2B3A"/>
          <w:sz w:val="22"/>
        </w:rPr>
        <w:t>dashboard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portfolio/project reports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It is a single-origin web application — a </w:t>
      </w:r>
      <w:r>
        <w:rPr>
          <w:rFonts w:ascii="Segoe UI" w:hAnsi="Segoe UI" w:cs="Segoe UI"/>
          <w:b/>
          <w:i w:val="0"/>
          <w:color w:val="1C2B3A"/>
          <w:sz w:val="22"/>
        </w:rPr>
        <w:t>FastAPI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backend serving a </w:t>
      </w:r>
      <w:r>
        <w:rPr>
          <w:rFonts w:ascii="Segoe UI" w:hAnsi="Segoe UI" w:cs="Segoe UI"/>
          <w:b/>
          <w:i w:val="0"/>
          <w:color w:val="1C2B3A"/>
          <w:sz w:val="22"/>
        </w:rPr>
        <w:t>React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single-page front end, backed by </w:t>
      </w:r>
      <w:r>
        <w:rPr>
          <w:rFonts w:ascii="Segoe UI" w:hAnsi="Segoe UI" w:cs="Segoe UI"/>
          <w:b/>
          <w:i w:val="0"/>
          <w:color w:val="1C2B3A"/>
          <w:sz w:val="22"/>
        </w:rPr>
        <w:t>SQLite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that auto-seeds a realistic sample portfolio on first boot.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It is deployed as a Docker container on Render, served at </w:t>
      </w:r>
      <w:r>
        <w:rPr>
          <w:rFonts w:ascii="Segoe UI" w:hAnsi="Segoe UI" w:cs="Segoe UI"/>
          <w:b/>
          <w:i w:val="0"/>
          <w:color w:val="1C2B3A"/>
          <w:sz w:val="22"/>
        </w:rPr>
        <w:t>apps.p3mai.com/pmo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behind the apps.p3mai.com front door (legacy app.p3mai.com 301-redirects there). Version 1 has </w:t>
      </w:r>
      <w:r>
        <w:rPr>
          <w:rFonts w:ascii="Segoe UI" w:hAnsi="Segoe UI" w:cs="Segoe UI"/>
          <w:b/>
          <w:i w:val="0"/>
          <w:color w:val="1C2B3A"/>
          <w:sz w:val="22"/>
        </w:rPr>
        <w:t>no authentication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by deliberate choice (single-user, non-sensitive demo/working data).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Introduction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2.1  Purpose &amp; scope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authoritative technical reference for the PMO Service — architecture, data model, backend and front end, and deployment. Usage is in </w:t>
      </w:r>
      <w:r>
        <w:rPr>
          <w:rFonts w:ascii="Segoe UI" w:hAnsi="Segoe UI" w:cs="Segoe UI"/>
          <w:b/>
          <w:i w:val="0"/>
          <w:color w:val="1C2B3A"/>
          <w:sz w:val="22"/>
        </w:rPr>
        <w:t>DOC-02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operations in </w:t>
      </w:r>
      <w:r>
        <w:rPr>
          <w:rFonts w:ascii="Segoe UI" w:hAnsi="Segoe UI" w:cs="Segoe UI"/>
          <w:b/>
          <w:i w:val="0"/>
          <w:color w:val="1C2B3A"/>
          <w:sz w:val="22"/>
        </w:rPr>
        <w:t>DOC-03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2.2  Audience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Developers and technical reviewers familiar with Python, React and containers.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2.3 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70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Term</w:t>
            </w:r>
          </w:p>
        </w:tc>
        <w:tc>
          <w:tcPr>
            <w:tcW w:type="dxa" w:w="7087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RAG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Red / Amber / Green health status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Allocation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share (%) of a resource assigned to a project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Risk score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likelihood × impact (1–25); ≥ 15 is high severity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SPA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Single-page application — the React front end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System overview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The PMO Service gives a delivery lead one place to see and manage a portfolio: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Projects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with code, category, owner, dates, budget, spend and RAG status;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Milestones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per project, with due dates and status (incl. overdue detection);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Resources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their </w:t>
      </w:r>
      <w:r>
        <w:rPr>
          <w:rFonts w:ascii="Segoe UI" w:hAnsi="Segoe UI" w:cs="Segoe UI"/>
          <w:b/>
          <w:i w:val="0"/>
          <w:color w:val="1C2B3A"/>
          <w:sz w:val="22"/>
        </w:rPr>
        <w:t>allocations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across projects (with over-allocation visible);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a </w:t>
      </w:r>
      <w:r>
        <w:rPr>
          <w:rFonts w:ascii="Segoe UI" w:hAnsi="Segoe UI" w:cs="Segoe UI"/>
          <w:b/>
          <w:i w:val="0"/>
          <w:color w:val="1C2B3A"/>
          <w:sz w:val="22"/>
        </w:rPr>
        <w:t>risk register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scored by likelihood × impact; and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a </w:t>
      </w:r>
      <w:r>
        <w:rPr>
          <w:rFonts w:ascii="Segoe UI" w:hAnsi="Segoe UI" w:cs="Segoe UI"/>
          <w:b/>
          <w:i w:val="0"/>
          <w:color w:val="1C2B3A"/>
          <w:sz w:val="22"/>
        </w:rPr>
        <w:t>dashboard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reports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that aggregate the portfolio.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81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Layer</w:t>
            </w:r>
          </w:p>
        </w:tc>
        <w:tc>
          <w:tcPr>
            <w:tcW w:type="dxa" w:w="300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Technology</w:t>
            </w:r>
          </w:p>
        </w:tc>
        <w:tc>
          <w:tcPr>
            <w:tcW w:type="dxa" w:w="3969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Backend</w:t>
            </w:r>
          </w:p>
        </w:tc>
        <w:tc>
          <w:tcPr>
            <w:tcW w:type="dxa" w:w="300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FastAPI + SQLAlchemy (Python 3.12)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REST API and SPA host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Database</w:t>
            </w:r>
          </w:p>
        </w:tc>
        <w:tc>
          <w:tcPr>
            <w:tcW w:type="dxa" w:w="300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SQLite (pmo.db)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Persistence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Validation</w:t>
            </w:r>
          </w:p>
        </w:tc>
        <w:tc>
          <w:tcPr>
            <w:tcW w:type="dxa" w:w="300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Pydantic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Request/response schemas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Server</w:t>
            </w:r>
          </w:p>
        </w:tc>
        <w:tc>
          <w:tcPr>
            <w:tcW w:type="dxa" w:w="300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uvicorn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ASGI server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Front end</w:t>
            </w:r>
          </w:p>
        </w:tc>
        <w:tc>
          <w:tcPr>
            <w:tcW w:type="dxa" w:w="300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React 19 + Vite, react-router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Single-page application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Packaging</w:t>
            </w:r>
          </w:p>
        </w:tc>
        <w:tc>
          <w:tcPr>
            <w:tcW w:type="dxa" w:w="300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Docker (multi-stage)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Single-image build &amp; deploy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Hosting</w:t>
            </w:r>
          </w:p>
        </w:tc>
        <w:tc>
          <w:tcPr>
            <w:tcW w:type="dxa" w:w="300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Render (Docker web service)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Production runtime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Solution architecture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 </w:t>
      </w:r>
      <w:r>
        <w:rPr>
          <w:rFonts w:ascii="Segoe UI" w:hAnsi="Segoe UI" w:cs="Segoe UI"/>
          <w:b/>
          <w:i w:val="0"/>
          <w:color w:val="1C2B3A"/>
          <w:sz w:val="22"/>
        </w:rPr>
        <w:t>single origin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: in production the FastAPI backend serves the built React bundle from </w:t>
      </w:r>
      <w:r>
        <w:rPr>
          <w:rFonts w:ascii="Consolas" w:hAnsi="Consolas" w:cs="Consolas"/>
          <w:b w:val="0"/>
          <w:i w:val="0"/>
          <w:color w:val="1B3F6E"/>
          <w:sz w:val="21"/>
        </w:rPr>
        <w:t>frontend/dist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exposes the </w:t>
      </w:r>
      <w:r>
        <w:rPr>
          <w:rFonts w:ascii="Consolas" w:hAnsi="Consolas" w:cs="Consolas"/>
          <w:b w:val="0"/>
          <w:i w:val="0"/>
          <w:color w:val="1B3F6E"/>
          <w:sz w:val="21"/>
        </w:rPr>
        <w:t>/api/*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routes from the same process.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36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o_deploy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3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1 — Deployment architecture (single-origin Docker service on Render).</w:t>
      </w:r>
    </w:p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Data model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36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o_datamod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3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2 — Data model: Project with Milestones/Risks/Allocations; Resource via Allocation.</w:t>
      </w:r>
    </w:p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6.1  Entities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70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Entity</w:t>
            </w:r>
          </w:p>
        </w:tc>
        <w:tc>
          <w:tcPr>
            <w:tcW w:type="dxa" w:w="7087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Key fields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name, code, category, owner, start/end, budget, actual_spend, rag_status, description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Milestone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project, name, due_date, status, sort_order, notes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Resource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name, role, email, weekly_capacity_hours, active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Allocation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resource, project, allocation_pct, start/end (Resource↔Project join)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Risk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project, title, likelihood, impact, score, status, mitigation_plan, owner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6.2  Enumerations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Enum</w:t>
            </w:r>
          </w:p>
        </w:tc>
        <w:tc>
          <w:tcPr>
            <w:tcW w:type="dxa" w:w="6520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Values</w:t>
            </w:r>
          </w:p>
        </w:tc>
      </w:tr>
      <w:tr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 category</w:t>
            </w:r>
          </w:p>
        </w:tc>
        <w:tc>
          <w:tcPr>
            <w:tcW w:type="dxa" w:w="652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ai_infrastructure · transformation · banking · other</w:t>
            </w:r>
          </w:p>
        </w:tc>
      </w:tr>
      <w:tr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RAG status</w:t>
            </w:r>
          </w:p>
        </w:tc>
        <w:tc>
          <w:tcPr>
            <w:tcW w:type="dxa" w:w="652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green · amber · red</w:t>
            </w:r>
          </w:p>
        </w:tc>
      </w:tr>
      <w:tr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Milestone status</w:t>
            </w:r>
          </w:p>
        </w:tc>
        <w:tc>
          <w:tcPr>
            <w:tcW w:type="dxa" w:w="652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not_started · in_progress · complete · late</w:t>
            </w:r>
          </w:p>
        </w:tc>
      </w:tr>
      <w:tr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Risk status</w:t>
            </w:r>
          </w:p>
        </w:tc>
        <w:tc>
          <w:tcPr>
            <w:tcW w:type="dxa" w:w="652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open · mitigating · closed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FF9E0"/>
            <w:tcBorders>
              <w:left w:val="single" w:sz="36" w:color="A8841C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A8841C"/>
                <w:sz w:val="21"/>
              </w:rPr>
              <w:t>★  Risk scoring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Risk score = likelihood × impact (each 1–5, so 1–25). A score of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15 or above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is treated as high severity and surfaced on the dashboard.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Backend design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7.1  API surface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Router</w:t>
            </w:r>
          </w:p>
        </w:tc>
        <w:tc>
          <w:tcPr>
            <w:tcW w:type="dxa" w:w="697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Endpoints (CRUD unless noted)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projects</w:t>
            </w:r>
          </w:p>
        </w:tc>
        <w:tc>
          <w:tcPr>
            <w:tcW w:type="dxa" w:w="697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list/create/get/update/delete projects (+ nested detail)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milestones</w:t>
            </w:r>
          </w:p>
        </w:tc>
        <w:tc>
          <w:tcPr>
            <w:tcW w:type="dxa" w:w="697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list/create/update/delete milestones per project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resources</w:t>
            </w:r>
          </w:p>
        </w:tc>
        <w:tc>
          <w:tcPr>
            <w:tcW w:type="dxa" w:w="697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list/create/get/update/delete resources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allocations</w:t>
            </w:r>
          </w:p>
        </w:tc>
        <w:tc>
          <w:tcPr>
            <w:tcW w:type="dxa" w:w="697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list/create/update/delete allocations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risks</w:t>
            </w:r>
          </w:p>
        </w:tc>
        <w:tc>
          <w:tcPr>
            <w:tcW w:type="dxa" w:w="697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list/create/update/delete risks (filter by project/status/score)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dashboard</w:t>
            </w:r>
          </w:p>
        </w:tc>
        <w:tc>
          <w:tcPr>
            <w:tcW w:type="dxa" w:w="697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summary — RAG counts, upcoming milestones, high-severity risks, overdue count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reports</w:t>
            </w:r>
          </w:p>
        </w:tc>
        <w:tc>
          <w:tcPr>
            <w:tcW w:type="dxa" w:w="697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GET portfolio report; GET per-project report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 </w:t>
      </w:r>
      <w:r>
        <w:rPr>
          <w:rFonts w:ascii="Consolas" w:hAnsi="Consolas" w:cs="Consolas"/>
          <w:b w:val="0"/>
          <w:i w:val="0"/>
          <w:color w:val="1B3F6E"/>
          <w:sz w:val="21"/>
        </w:rPr>
        <w:t>/api/health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endpoint provides a liveness probe. ORM objects are converted to Pydantic responses by explicit serializers that add computed fields (owner names, </w:t>
      </w:r>
      <w:r>
        <w:rPr>
          <w:rFonts w:ascii="Consolas" w:hAnsi="Consolas" w:cs="Consolas"/>
          <w:b w:val="0"/>
          <w:i w:val="0"/>
          <w:color w:val="1B3F6E"/>
          <w:sz w:val="21"/>
        </w:rPr>
        <w:t>is_overdue</w:t>
      </w:r>
      <w:r>
        <w:rPr>
          <w:rFonts w:ascii="Segoe UI" w:hAnsi="Segoe UI" w:cs="Segoe UI"/>
          <w:b w:val="0"/>
          <w:i w:val="0"/>
          <w:color w:val="1C2B3A"/>
          <w:sz w:val="22"/>
        </w:rPr>
        <w:t>, percent-complete, etc.).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7.2  Dashboard &amp; reports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The dashboard aggregates across the portfolio: RAG counts, the next upcoming milestones with days-until, the highest-severity open risks, and an overdue-milestone count. The reports produce a portfolio table (per-project percent-complete, open-risk count, top risk, budget vs spend) and a single-project drill-down.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Front-end design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036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o_scree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03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3 — The main screens.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70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Screen</w:t>
            </w:r>
          </w:p>
        </w:tc>
        <w:tc>
          <w:tcPr>
            <w:tcW w:type="dxa" w:w="7087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Dashboard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Portfolio health at a glance — RAG, upcoming milestones, top risks, overdue count.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Projects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Filterable portfolio list; a detail page per project with milestones, risks, allocations.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Resources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People, capacity and their allocations across projects.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Risks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risk register with scores and status.</w:t>
            </w:r>
          </w:p>
        </w:tc>
      </w:tr>
      <w:tr>
        <w:tc>
          <w:tcPr>
            <w:tcW w:type="dxa" w:w="170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Reports</w:t>
            </w:r>
          </w:p>
        </w:tc>
        <w:tc>
          <w:tcPr>
            <w:tcW w:type="dxa" w:w="7087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Portfolio and per-project reports.</w:t>
            </w:r>
          </w:p>
        </w:tc>
      </w:tr>
      <w:tr>
        <w:tc>
          <w:tcPr>
            <w:tcW w:type="dxa" w:w="170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Settings</w:t>
            </w:r>
          </w:p>
        </w:tc>
        <w:tc>
          <w:tcPr>
            <w:tcW w:type="dxa" w:w="7087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 settings.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>Shared UI: a sidebar + top-bar layout, reusable forms in modals (project, resource, risk), and status chips — RAG badges and a risk-score badge — for at-a-glance reading.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Seeding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On first boot against an empty database the app seeds a realistic sample portfolio (six resources; four projects — a GPU supercomputer build, a core-banking migration, a data-governance rollout and the AI-PMO pilot — with milestones, allocations and risks). Seeding is idempotent and skipped under tests.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Security &amp; access control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No authentication in v1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The app has no login and is deployed openly at apps.p3mai.com/pmo — a deliberate choice for a single-user tool holding non-sensitive demo/working data. Add authentication before it holds anything sensitive.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11.  Deployment architecture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SPA is built with a </w:t>
      </w:r>
      <w:r>
        <w:rPr>
          <w:rFonts w:ascii="Segoe UI" w:hAnsi="Segoe UI" w:cs="Segoe UI"/>
          <w:b/>
          <w:i w:val="0"/>
          <w:color w:val="1C2B3A"/>
          <w:sz w:val="22"/>
        </w:rPr>
        <w:t>base path of /pmo/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(Docker build arg </w:t>
      </w:r>
      <w:r>
        <w:rPr>
          <w:rFonts w:ascii="Consolas" w:hAnsi="Consolas" w:cs="Consolas"/>
          <w:b w:val="0"/>
          <w:i w:val="0"/>
          <w:color w:val="1B3F6E"/>
          <w:sz w:val="21"/>
        </w:rPr>
        <w:t>APP_BASE</w:t>
      </w:r>
      <w:r>
        <w:rPr>
          <w:rFonts w:ascii="Segoe UI" w:hAnsi="Segoe UI" w:cs="Segoe UI"/>
          <w:b w:val="0"/>
          <w:i w:val="0"/>
          <w:color w:val="1C2B3A"/>
          <w:sz w:val="22"/>
        </w:rPr>
        <w:t>, defaulting to /pmo/) so the whole app serves correctly behind the front door; backend middleware 301-redirects the legacy app.p3mai.com domain to apps.p3mai.com/pmo. CI (</w:t>
      </w:r>
      <w:r>
        <w:rPr>
          <w:rFonts w:ascii="Consolas" w:hAnsi="Consolas" w:cs="Consolas"/>
          <w:b w:val="0"/>
          <w:i w:val="0"/>
          <w:color w:val="1B3F6E"/>
          <w:sz w:val="21"/>
        </w:rPr>
        <w:t>ci.yml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: pytest + vitest) and Dependabot run on the repository; optional Sentry error tracking activates when </w:t>
      </w:r>
      <w:r>
        <w:rPr>
          <w:rFonts w:ascii="Consolas" w:hAnsi="Consolas" w:cs="Consolas"/>
          <w:b w:val="0"/>
          <w:i w:val="0"/>
          <w:color w:val="1B3F6E"/>
          <w:sz w:val="21"/>
        </w:rPr>
        <w:t>SENTRY_DSN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is set. 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Deployed on Render as a Docker web service built from the multi-stage </w:t>
      </w:r>
      <w:r>
        <w:rPr>
          <w:rFonts w:ascii="Consolas" w:hAnsi="Consolas" w:cs="Consolas"/>
          <w:b w:val="0"/>
          <w:i w:val="0"/>
          <w:color w:val="1B3F6E"/>
          <w:sz w:val="21"/>
        </w:rPr>
        <w:t>Dockerfile</w:t>
      </w:r>
      <w:r>
        <w:rPr>
          <w:rFonts w:ascii="Segoe UI" w:hAnsi="Segoe UI" w:cs="Segoe UI"/>
          <w:b w:val="0"/>
          <w:i w:val="0"/>
          <w:color w:val="1C2B3A"/>
          <w:sz w:val="22"/>
        </w:rPr>
        <w:t>. The database re-seeds on every boot, so a fresh or restarted container comes up populated.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2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Aspect</w:t>
            </w:r>
          </w:p>
        </w:tc>
        <w:tc>
          <w:tcPr>
            <w:tcW w:type="dxa" w:w="6860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Repository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github.com/DRC63/pmo-service (private)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Platform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Render — Docker web service</w:t>
            </w:r>
          </w:p>
        </w:tc>
      </w:tr>
      <w:tr>
        <w:tc>
          <w:tcPr>
            <w:tcW w:type="dxa" w:w="192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URL</w:t>
            </w:r>
          </w:p>
        </w:tc>
        <w:tc>
          <w:tcPr>
            <w:tcW w:type="dxa" w:w="686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apps.p3mai.com/pmo (behind the apps front door; origin pmo-service.onrender.com)</w:t>
            </w:r>
          </w:p>
        </w:tc>
      </w:tr>
      <w:tr>
        <w:tc>
          <w:tcPr>
            <w:tcW w:type="dxa" w:w="192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Persistence</w:t>
            </w:r>
          </w:p>
        </w:tc>
        <w:tc>
          <w:tcPr>
            <w:tcW w:type="dxa" w:w="686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Ephemeral disk — DB resets on redeploy; auto-seeds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12.  Key design decisions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60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Decision</w:t>
            </w:r>
          </w:p>
        </w:tc>
        <w:tc>
          <w:tcPr>
            <w:tcW w:type="dxa" w:w="6180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Single-origin Docker image</w:t>
            </w:r>
          </w:p>
        </w:tc>
        <w:tc>
          <w:tcPr>
            <w:tcW w:type="dxa" w:w="618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One container serves API + UI; nothing else to run.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SQLite + auto-seed</w:t>
            </w:r>
          </w:p>
        </w:tc>
        <w:tc>
          <w:tcPr>
            <w:tcW w:type="dxa" w:w="618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Zero-config persistence; ephemeral hosts self-populate.</w:t>
            </w:r>
          </w:p>
        </w:tc>
      </w:tr>
      <w:tr>
        <w:tc>
          <w:tcPr>
            <w:tcW w:type="dxa" w:w="260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No auth in v1</w:t>
            </w:r>
          </w:p>
        </w:tc>
        <w:tc>
          <w:tcPr>
            <w:tcW w:type="dxa" w:w="618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Single-user, non-sensitive; keeps the tool frictionless (revisit later).</w:t>
            </w:r>
          </w:p>
        </w:tc>
      </w:tr>
      <w:tr>
        <w:tc>
          <w:tcPr>
            <w:tcW w:type="dxa" w:w="260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Explicit serializers</w:t>
            </w:r>
          </w:p>
        </w:tc>
        <w:tc>
          <w:tcPr>
            <w:tcW w:type="dxa" w:w="618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Computed fields (RAG, overdue, %-complete) added deliberately, not leaked from ORM.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13.  Non-functional considerations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Performance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small dataset, client-side rendering; comfortably fast.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Portability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one Docker image; runs anywhere containers run.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Extensibility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new entities/reports slot into the router + serializer pattern.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14.  Roadmap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Authentication and multi-user support before holding real data.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Persistent storage (disk / Postgres) so data survives redeploys.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>Richer reporting and export (PDF/Excel).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Appendix A — Repository layout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5F6F8"/>
          </w:tcPr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>pmo-service/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backend/app/   FastAPI app (main, models, schemas, crud, serializers,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               enums, seed, database, routers/)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frontend/src/  React app (pages/, components/, layout/, api/, theme/)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Dockerfile     multi-stage build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b w:val="0"/>
                <w:i w:val="0"/>
                <w:color w:val="1B3F6E"/>
                <w:sz w:val="18"/>
              </w:rPr>
              <w:t xml:space="preserve">  docs/          this documentation set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PMO Service</w:t>
    </w:r>
    <w:r>
      <w:rPr>
        <w:rFonts w:ascii="Segoe UI" w:hAnsi="Segoe UI" w:cs="Segoe UI"/>
        <w:b w:val="0"/>
        <w:i w:val="0"/>
        <w:color w:val="5B6675"/>
        <w:sz w:val="16"/>
      </w:rPr>
      <w:tab/>
      <w:t>v1.1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