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highlight w:val="none"/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Application>LibreOffice/24.2.2.2$Linux_X86_64 LibreOffice_project/420$Build-2</Application>
  <AppVersion>15.0000</AppVersion>
  <Pages>25</Pages>
  <Words>3051</Words>
  <Characters>19598</Characters>
  <CharactersWithSpaces>22228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2024-05-05T19:08:26Z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