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  <w:bookmarkStart w:id="0" w:name="_GoBack"/>
      <w:bookmarkEnd w:id="0"/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531A71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proofErr w:type="gramStart"/>
      <w:r w:rsidRPr="004B68DB">
        <w:rPr>
          <w:rFonts w:ascii="Segoe UI" w:hAnsi="Segoe UI" w:cs="Segoe UI"/>
          <w:b/>
          <w:sz w:val="36"/>
          <w:szCs w:val="23"/>
        </w:rPr>
        <w:t>Server</w:t>
      </w:r>
      <w:proofErr w:type="gramEnd"/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Structured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Query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Data Access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Business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Logic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Integrated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Development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proofErr w:type="spellStart"/>
      <w:r w:rsidRPr="0055296F">
        <w:rPr>
          <w:rFonts w:ascii="Segoe UI" w:hAnsi="Segoe UI" w:cs="Segoe UI"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base de dados, modelo relacionar e a interface da </w:t>
      </w:r>
      <w:proofErr w:type="gramStart"/>
      <w:r>
        <w:rPr>
          <w:rFonts w:ascii="Segoe UI" w:hAnsi="Segoe UI" w:cs="Segoe UI"/>
          <w:color w:val="262626" w:themeColor="text1" w:themeTint="D9"/>
          <w:sz w:val="28"/>
        </w:rPr>
        <w:t>aplicação..</w:t>
      </w:r>
      <w:proofErr w:type="gramEnd"/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6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0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1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6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 xml:space="preserve">2 </w:t>
      </w:r>
      <w:proofErr w:type="gramStart"/>
      <w:r w:rsidRPr="007E157F">
        <w:rPr>
          <w:rFonts w:ascii="Segoe UI" w:hAnsi="Segoe UI" w:cs="Segoe UI"/>
          <w:sz w:val="28"/>
        </w:rPr>
        <w:t>de</w:t>
      </w:r>
      <w:proofErr w:type="gramEnd"/>
      <w:r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 xml:space="preserve">16 </w:t>
      </w:r>
      <w:proofErr w:type="gramStart"/>
      <w:r w:rsidRPr="007E157F">
        <w:rPr>
          <w:sz w:val="28"/>
        </w:rPr>
        <w:t>de</w:t>
      </w:r>
      <w:proofErr w:type="gramEnd"/>
      <w:r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(Nome_Util,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 se em: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>
        <w:rPr>
          <w:rFonts w:ascii="Segoe UI" w:hAnsi="Segoe UI" w:cs="Segoe UI"/>
          <w:b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>camada intermediária que é responsável pela troca de dados entre a aplicação e a DAL.</w: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669E1D9" wp14:editId="670A2748">
            <wp:simplePos x="0" y="0"/>
            <wp:positionH relativeFrom="column">
              <wp:posOffset>233680</wp:posOffset>
            </wp:positionH>
            <wp:positionV relativeFrom="paragraph">
              <wp:posOffset>8255</wp:posOffset>
            </wp:positionV>
            <wp:extent cx="2314575" cy="5578999"/>
            <wp:effectExtent l="0" t="0" r="0" b="3175"/>
            <wp:wrapTight wrapText="bothSides">
              <wp:wrapPolygon edited="0">
                <wp:start x="0" y="0"/>
                <wp:lineTo x="0" y="21539"/>
                <wp:lineTo x="21333" y="21539"/>
                <wp:lineTo x="2133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</w:t>
      </w:r>
      <w:r>
        <w:rPr>
          <w:rFonts w:ascii="Segoe UI" w:hAnsi="Segoe UI" w:cs="Segoe UI"/>
          <w:color w:val="262626" w:themeColor="text1" w:themeTint="D9"/>
          <w:sz w:val="28"/>
        </w:rPr>
        <w:t>a Autenticação</w:t>
      </w:r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AD6111" w:rsidRPr="00AD6111" w:rsidRDefault="00AD6111" w:rsidP="00AD6111"/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António </w:t>
      </w:r>
      <w:proofErr w:type="spellStart"/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A71" w:rsidRDefault="00531A71" w:rsidP="001D6892">
      <w:pPr>
        <w:spacing w:after="0" w:line="240" w:lineRule="auto"/>
      </w:pPr>
      <w:r>
        <w:separator/>
      </w:r>
    </w:p>
  </w:endnote>
  <w:endnote w:type="continuationSeparator" w:id="0">
    <w:p w:rsidR="00531A71" w:rsidRDefault="00531A71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A71" w:rsidRDefault="00531A71" w:rsidP="001D6892">
      <w:pPr>
        <w:spacing w:after="0" w:line="240" w:lineRule="auto"/>
      </w:pPr>
      <w:r>
        <w:separator/>
      </w:r>
    </w:p>
  </w:footnote>
  <w:footnote w:type="continuationSeparator" w:id="0">
    <w:p w:rsidR="00531A71" w:rsidRDefault="00531A71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D28A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D28A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31A71"/>
    <w:rsid w:val="0055296F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7A2B"/>
    <w:rsid w:val="00AD6111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2332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5BD3-AEB3-439F-A1C9-B9B7B49C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25</Pages>
  <Words>2321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36</cp:revision>
  <dcterms:created xsi:type="dcterms:W3CDTF">2014-05-21T08:31:00Z</dcterms:created>
  <dcterms:modified xsi:type="dcterms:W3CDTF">2014-06-23T08:35:00Z</dcterms:modified>
</cp:coreProperties>
</file>