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 Light" w:cs="Poppins Light" w:eastAsia="Poppins Light" w:hAnsi="Poppins Ligh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 Medium" w:cs="Poppins Medium" w:eastAsia="Poppins Medium" w:hAnsi="Poppins Medium"/>
          <w:sz w:val="26"/>
          <w:szCs w:val="26"/>
        </w:rPr>
      </w:pPr>
      <w:r w:rsidDel="00000000" w:rsidR="00000000" w:rsidRPr="00000000">
        <w:rPr>
          <w:rFonts w:ascii="Poppins Medium" w:cs="Poppins Medium" w:eastAsia="Poppins Medium" w:hAnsi="Poppins Medium"/>
          <w:sz w:val="26"/>
          <w:szCs w:val="26"/>
          <w:rtl w:val="0"/>
        </w:rPr>
        <w:t xml:space="preserve">COMPTE RENDU ET RELEVÉ DE DÉCISIONS </w:t>
      </w:r>
    </w:p>
    <w:p w:rsidR="00000000" w:rsidDel="00000000" w:rsidP="00000000" w:rsidRDefault="00000000" w:rsidRPr="00000000" w14:paraId="00000003">
      <w:pPr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3975"/>
        <w:tblGridChange w:id="0">
          <w:tblGrid>
            <w:gridCol w:w="2985"/>
            <w:gridCol w:w="3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Lundi 28 septembre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HORAIRE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9h30-10h30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ORDRE DU JOUR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Poppins SemiBold" w:cs="Poppins SemiBold" w:eastAsia="Poppins SemiBold" w:hAnsi="Poppins SemiBold"/>
                <w:sz w:val="20"/>
                <w:szCs w:val="20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sz w:val="20"/>
                <w:szCs w:val="20"/>
                <w:rtl w:val="0"/>
              </w:rPr>
              <w:t xml:space="preserve">1. Paie, primes &amp; suivi d’activité</w:t>
            </w:r>
          </w:p>
          <w:p w:rsidR="00000000" w:rsidDel="00000000" w:rsidP="00000000" w:rsidRDefault="00000000" w:rsidRPr="00000000" w14:paraId="0000000A">
            <w:pPr>
              <w:rPr>
                <w:rFonts w:ascii="Poppins SemiBold" w:cs="Poppins SemiBold" w:eastAsia="Poppins SemiBold" w:hAnsi="Poppins SemiBold"/>
                <w:sz w:val="20"/>
                <w:szCs w:val="20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sz w:val="20"/>
                <w:szCs w:val="20"/>
                <w:rtl w:val="0"/>
              </w:rPr>
              <w:t xml:space="preserve">2. Retour sur le salon de Lille</w:t>
            </w:r>
          </w:p>
          <w:p w:rsidR="00000000" w:rsidDel="00000000" w:rsidP="00000000" w:rsidRDefault="00000000" w:rsidRPr="00000000" w14:paraId="0000000B">
            <w:pPr>
              <w:rPr>
                <w:rFonts w:ascii="Poppins SemiBold" w:cs="Poppins SemiBold" w:eastAsia="Poppins SemiBold" w:hAnsi="Poppins SemiBold"/>
                <w:sz w:val="20"/>
                <w:szCs w:val="20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sz w:val="20"/>
                <w:szCs w:val="20"/>
                <w:rtl w:val="0"/>
              </w:rPr>
              <w:t xml:space="preserve">3. Campagne de mise à jour des cahiers des charges clients</w:t>
            </w:r>
          </w:p>
          <w:p w:rsidR="00000000" w:rsidDel="00000000" w:rsidP="00000000" w:rsidRDefault="00000000" w:rsidRPr="00000000" w14:paraId="0000000C">
            <w:pPr>
              <w:rPr>
                <w:rFonts w:ascii="Poppins SemiBold" w:cs="Poppins SemiBold" w:eastAsia="Poppins SemiBold" w:hAnsi="Poppins SemiBold"/>
                <w:sz w:val="20"/>
                <w:szCs w:val="20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sz w:val="20"/>
                <w:szCs w:val="20"/>
                <w:rtl w:val="0"/>
              </w:rPr>
              <w:t xml:space="preserve">4. Nouvelle sectorisation commerciale</w:t>
            </w:r>
          </w:p>
          <w:p w:rsidR="00000000" w:rsidDel="00000000" w:rsidP="00000000" w:rsidRDefault="00000000" w:rsidRPr="00000000" w14:paraId="0000000D">
            <w:pPr>
              <w:rPr>
                <w:rFonts w:ascii="Poppins SemiBold" w:cs="Poppins SemiBold" w:eastAsia="Poppins SemiBold" w:hAnsi="Poppins SemiBold"/>
                <w:sz w:val="20"/>
                <w:szCs w:val="20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sz w:val="20"/>
                <w:szCs w:val="20"/>
                <w:rtl w:val="0"/>
              </w:rPr>
              <w:t xml:space="preserve">5. Rappel collectif – rigueur &amp; respect des instructions</w:t>
            </w:r>
          </w:p>
          <w:p w:rsidR="00000000" w:rsidDel="00000000" w:rsidP="00000000" w:rsidRDefault="00000000" w:rsidRPr="00000000" w14:paraId="0000000E">
            <w:pPr>
              <w:rPr>
                <w:rFonts w:ascii="Poppins SemiBold" w:cs="Poppins SemiBold" w:eastAsia="Poppins SemiBold" w:hAnsi="Poppins SemiBold"/>
                <w:sz w:val="20"/>
                <w:szCs w:val="20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sz w:val="20"/>
                <w:szCs w:val="20"/>
                <w:rtl w:val="0"/>
              </w:rPr>
              <w:t xml:space="preserve">6. Restitution de l’atelier</w:t>
            </w:r>
          </w:p>
          <w:p w:rsidR="00000000" w:rsidDel="00000000" w:rsidP="00000000" w:rsidRDefault="00000000" w:rsidRPr="00000000" w14:paraId="0000000F">
            <w:pPr>
              <w:rPr>
                <w:rFonts w:ascii="Poppins SemiBold" w:cs="Poppins SemiBold" w:eastAsia="Poppins SemiBold" w:hAnsi="Poppins SemiBold"/>
                <w:sz w:val="20"/>
                <w:szCs w:val="20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sz w:val="20"/>
                <w:szCs w:val="20"/>
                <w:rtl w:val="0"/>
              </w:rPr>
              <w:t xml:space="preserve">7. Simulation de vente: reportée au lundi 5 octobre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PARTICIPANTS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Morvan.B Yasmina.G; Merlin.B; Laurence.F; Marie-Amélie.S; Jonathan.L; Hébéton.P; Norren.B; Thomas.C; Lisa.R; Ornella.C; Lila.F; Eva.T; Manon.R; Woodmilove.S; Fanny.G;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ABSENTS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left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Loane.L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Poppins SemiBold" w:cs="Poppins SemiBold" w:eastAsia="Poppins SemiBold" w:hAnsi="Poppins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 SemiBold" w:cs="Poppins SemiBold" w:eastAsia="Poppins SemiBold" w:hAnsi="Poppins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Poppins SemiBold" w:cs="Poppins SemiBold" w:eastAsia="Poppins SemiBold" w:hAnsi="Poppins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 SemiBold" w:cs="Poppins SemiBold" w:eastAsia="Poppins SemiBold" w:hAnsi="Poppins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 SemiBold" w:cs="Poppins SemiBold" w:eastAsia="Poppins SemiBold" w:hAnsi="Poppins SemiBol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365" w:tblpY="0"/>
        <w:tblW w:w="13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60"/>
        <w:gridCol w:w="3195"/>
        <w:gridCol w:w="3225"/>
        <w:gridCol w:w="1590"/>
        <w:tblGridChange w:id="0">
          <w:tblGrid>
            <w:gridCol w:w="5160"/>
            <w:gridCol w:w="3195"/>
            <w:gridCol w:w="3225"/>
            <w:gridCol w:w="15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THÉMATIQUES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ÉCHANGES ET COMMENTAIRE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Fonts w:ascii="Poppins Medium" w:cs="Poppins Medium" w:eastAsia="Poppins Medium" w:hAnsi="Poppins Medium"/>
                <w:sz w:val="24"/>
                <w:szCs w:val="24"/>
                <w:rtl w:val="0"/>
              </w:rPr>
              <w:t xml:space="preserve">DÉCISION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Poppins Medium" w:cs="Poppins Medium" w:eastAsia="Poppins Medium" w:hAnsi="Poppins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Poppins SemiBold" w:cs="Poppins SemiBold" w:eastAsia="Poppins SemiBold" w:hAnsi="Poppins SemiBold"/>
                <w:sz w:val="20"/>
                <w:szCs w:val="20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sz w:val="20"/>
                <w:szCs w:val="20"/>
                <w:rtl w:val="0"/>
              </w:rPr>
              <w:t xml:space="preserve">Paie, primes &amp; suivi d’activité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42424"/>
                <w:sz w:val="23"/>
                <w:szCs w:val="23"/>
                <w:rtl w:val="0"/>
              </w:rPr>
              <w:t xml:space="preserve">Instructions de paie du mois.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hd w:fill="ffffff" w:val="clear"/>
              <w:spacing w:after="22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42424"/>
                <w:sz w:val="23"/>
                <w:szCs w:val="23"/>
                <w:rtl w:val="0"/>
              </w:rPr>
              <w:t xml:space="preserve">Temps keyyo/CRM et impact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424"/>
                <w:sz w:val="23"/>
                <w:szCs w:val="23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242424"/>
                <w:sz w:val="23"/>
                <w:szCs w:val="23"/>
                <w:rtl w:val="0"/>
              </w:rPr>
              <w:t xml:space="preserve">sur le calcul des primes.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sz w:val="24"/>
                <w:szCs w:val="24"/>
                <w:rtl w:val="0"/>
              </w:rPr>
              <w:t xml:space="preserve">Retour sur le salon de Lille 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sz w:val="24"/>
                <w:szCs w:val="24"/>
                <w:rtl w:val="0"/>
              </w:rPr>
              <w:t xml:space="preserve">Campagne de mise à jour des cahiers des charges clients 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sz w:val="24"/>
                <w:szCs w:val="24"/>
                <w:rtl w:val="0"/>
              </w:rPr>
              <w:t xml:space="preserve">Nouvelle sectorisation commerciale 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sz w:val="24"/>
                <w:szCs w:val="24"/>
                <w:rtl w:val="0"/>
              </w:rPr>
              <w:t xml:space="preserve">Rappel collectif – rigueur &amp; respect des instructions 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sz w:val="24"/>
                <w:szCs w:val="24"/>
                <w:rtl w:val="0"/>
              </w:rPr>
              <w:t xml:space="preserve">Restitution de l’atelier 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sz w:val="24"/>
                <w:szCs w:val="24"/>
                <w:rtl w:val="0"/>
              </w:rPr>
              <w:t xml:space="preserve">Simulation de vente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Fonts w:ascii="Poppins Light" w:cs="Poppins Light" w:eastAsia="Poppins Light" w:hAnsi="Poppins Light"/>
                <w:sz w:val="24"/>
                <w:szCs w:val="24"/>
                <w:rtl w:val="0"/>
              </w:rPr>
              <w:t xml:space="preserve">Reportée au lundi 5 octobre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Poppins Light" w:cs="Poppins Light" w:eastAsia="Poppins Light" w:hAnsi="Poppins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Poppins Light" w:cs="Poppins Light" w:eastAsia="Poppins Light" w:hAnsi="Poppins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1909" w:w="16834" w:orient="landscape"/>
      <w:pgMar w:bottom="1440" w:top="1440" w:left="1440" w:right="1440" w:header="720" w:footer="720"/>
      <w:pgNumType w:start="1"/>
      <w:cols w:equalWidth="0" w:num="2">
        <w:col w:space="720" w:w="6618.88"/>
        <w:col w:space="0" w:w="6618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Poppins SemiBold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28863" cy="9092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28863" cy="9092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42424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PoppinsSemiBold-boldItalic.ttf"/><Relationship Id="rId11" Type="http://schemas.openxmlformats.org/officeDocument/2006/relationships/font" Target="fonts/PoppinsLight-italic.ttf"/><Relationship Id="rId10" Type="http://schemas.openxmlformats.org/officeDocument/2006/relationships/font" Target="fonts/PoppinsLight-bold.ttf"/><Relationship Id="rId13" Type="http://schemas.openxmlformats.org/officeDocument/2006/relationships/font" Target="fonts/PoppinsMedium-regular.ttf"/><Relationship Id="rId12" Type="http://schemas.openxmlformats.org/officeDocument/2006/relationships/font" Target="fonts/PoppinsLight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PoppinsLight-regular.ttf"/><Relationship Id="rId15" Type="http://schemas.openxmlformats.org/officeDocument/2006/relationships/font" Target="fonts/PoppinsMedium-italic.ttf"/><Relationship Id="rId14" Type="http://schemas.openxmlformats.org/officeDocument/2006/relationships/font" Target="fonts/PoppinsMedium-bold.ttf"/><Relationship Id="rId17" Type="http://schemas.openxmlformats.org/officeDocument/2006/relationships/font" Target="fonts/PoppinsSemiBold-regular.ttf"/><Relationship Id="rId16" Type="http://schemas.openxmlformats.org/officeDocument/2006/relationships/font" Target="fonts/PoppinsMedium-boldItalic.ttf"/><Relationship Id="rId5" Type="http://schemas.openxmlformats.org/officeDocument/2006/relationships/font" Target="fonts/Poppins-regular.ttf"/><Relationship Id="rId19" Type="http://schemas.openxmlformats.org/officeDocument/2006/relationships/font" Target="fonts/PoppinsSemiBold-italic.ttf"/><Relationship Id="rId6" Type="http://schemas.openxmlformats.org/officeDocument/2006/relationships/font" Target="fonts/Poppins-bold.ttf"/><Relationship Id="rId18" Type="http://schemas.openxmlformats.org/officeDocument/2006/relationships/font" Target="fonts/PoppinsSemiBold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