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Employee Handbook — Remote Work Policy</w:t>
      </w:r>
    </w:p>
    <w:p>
      <w:r>
        <w:t>Employees may work remotely up to 3 days per week without prior manager approval. Fully remote arrangements require written approval from both the employee's manager and HR.</w:t>
      </w:r>
    </w:p>
    <w:p>
      <w:r>
        <w:t>All remote employees must be reachable during core hours, 10am to 4pm in their local time zone, and must attend the weekly team sync regardless of location.</w:t>
      </w:r>
    </w:p>
    <w:p>
      <w:r>
        <w:t>Equipment Reimbursement</w:t>
      </w:r>
    </w:p>
    <w:p>
      <w:r>
        <w:t>The company provides a one-time 500 USD home office stipend for new remote employees, covering items such as a monitor, chair, or desk. Reimbursement requests must be submitted within 90 days of the start date.</w:t>
      </w:r>
    </w:p>
    <w:p>
      <w:r>
        <w:t>Time Off Policy</w:t>
      </w:r>
    </w:p>
    <w:p>
      <w:r>
        <w:t>Full-time employees accrue 15 days of paid time off per year, increasing to 20 days after 3 years of tenure. Unused PTO up to 5 days may be carried over into the following year.</w:t>
      </w:r>
    </w:p>
    <w:sectPr/>
  </w:body>
</w:document>
</file>