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23E72" w14:textId="77777777" w:rsidR="00D24D89" w:rsidRDefault="00D24D89">
      <w:pPr>
        <w:rPr>
          <w:rFonts w:ascii="Helvetica Neue" w:eastAsia="Times New Roman" w:hAnsi="Helvetica Neue"/>
        </w:rPr>
      </w:pPr>
    </w:p>
    <w:p w14:paraId="50124945"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T41 V12 RF Board Assembly Manual</w:t>
      </w:r>
    </w:p>
    <w:p w14:paraId="6891BC32"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Version 1.00 – April 23, 2024</w:t>
      </w:r>
    </w:p>
    <w:p w14:paraId="39EDCC17"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WJ Schmidt  - K9HZ</w:t>
      </w:r>
    </w:p>
    <w:p w14:paraId="72BB66D8" w14:textId="77777777" w:rsidR="00D24D89" w:rsidRDefault="00D24D89">
      <w:pPr>
        <w:spacing w:after="160" w:line="259" w:lineRule="auto"/>
        <w:jc w:val="center"/>
        <w:rPr>
          <w:rFonts w:ascii="Calibri" w:hAnsi="Calibri" w:cs="Calibri"/>
          <w:b/>
          <w:bCs/>
          <w:kern w:val="2"/>
          <w14:ligatures w14:val="standardContextual"/>
        </w:rPr>
      </w:pPr>
    </w:p>
    <w:p w14:paraId="1A655A2B" w14:textId="75785B87" w:rsidR="00D24D89" w:rsidRPr="00B50F6D" w:rsidRDefault="00000000">
      <w:pPr>
        <w:spacing w:after="160" w:line="259" w:lineRule="auto"/>
        <w:rPr>
          <w:rFonts w:ascii="Calibri" w:hAnsi="Calibri" w:cs="Calibri"/>
          <w:b/>
          <w:bCs/>
          <w:color w:val="FF0000"/>
          <w:kern w:val="2"/>
          <w14:ligatures w14:val="standardContextual"/>
        </w:rPr>
      </w:pPr>
      <w:r>
        <w:rPr>
          <w:rFonts w:ascii="Calibri" w:hAnsi="Calibri" w:cs="Calibri"/>
          <w:b/>
          <w:bCs/>
          <w:kern w:val="2"/>
          <w14:ligatures w14:val="standardContextual"/>
        </w:rPr>
        <w:t>INTRODUCTION</w:t>
      </w:r>
      <w:r w:rsidR="00B50F6D">
        <w:rPr>
          <w:rFonts w:ascii="Calibri" w:hAnsi="Calibri" w:cs="Calibri"/>
          <w:b/>
          <w:bCs/>
          <w:kern w:val="2"/>
          <w14:ligatures w14:val="standardContextual"/>
        </w:rPr>
        <w:t xml:space="preserve"> </w:t>
      </w:r>
      <w:r w:rsidR="00B50F6D">
        <w:rPr>
          <w:rFonts w:ascii="Calibri" w:hAnsi="Calibri" w:cs="Calibri"/>
          <w:b/>
          <w:bCs/>
          <w:color w:val="FF0000"/>
          <w:kern w:val="2"/>
          <w14:ligatures w14:val="standardContextual"/>
        </w:rPr>
        <w:t>THIS ASSEMBLY MANUAL IS UNDER CONSTRUCTION.</w:t>
      </w:r>
    </w:p>
    <w:p w14:paraId="3D40D41A" w14:textId="77777777" w:rsidR="00D24D89" w:rsidRDefault="00000000">
      <w:pPr>
        <w:spacing w:after="160" w:line="259" w:lineRule="auto"/>
        <w:rPr>
          <w:rFonts w:ascii="Calibri" w:hAnsi="Calibri" w:cs="Calibri"/>
          <w:strike/>
          <w:color w:val="FF0000"/>
          <w:kern w:val="2"/>
          <w14:ligatures w14:val="standardContextual"/>
        </w:rPr>
      </w:pPr>
      <w:r>
        <w:rPr>
          <w:rFonts w:ascii="Calibri" w:hAnsi="Calibri" w:cs="Calibri"/>
          <w:kern w:val="2"/>
          <w14:ligatures w14:val="standardContextual"/>
        </w:rPr>
        <w:t xml:space="preserve">The new T41 V12 RF board is the latest version of the T41 QSE and QSD combined on to one board.  The </w:t>
      </w:r>
    </w:p>
    <w:p w14:paraId="7B15B0EC" w14:textId="77777777" w:rsidR="00D24D89" w:rsidRDefault="00000000">
      <w:pPr>
        <w:spacing w:after="160" w:line="259" w:lineRule="auto"/>
        <w:rPr>
          <w:rFonts w:ascii="Calibri" w:hAnsi="Calibri" w:cs="Calibri"/>
          <w:b/>
          <w:bCs/>
          <w:kern w:val="2"/>
          <w14:ligatures w14:val="standardContextual"/>
        </w:rPr>
      </w:pPr>
      <w:r>
        <w:rPr>
          <w:rFonts w:ascii="Calibri" w:hAnsi="Calibri" w:cs="Calibri"/>
          <w:b/>
          <w:bCs/>
          <w:kern w:val="2"/>
          <w14:ligatures w14:val="standardContextual"/>
        </w:rPr>
        <w:t>THEORY OF OPERATION</w:t>
      </w:r>
    </w:p>
    <w:p w14:paraId="0A3158E1" w14:textId="77777777" w:rsidR="00D24D89" w:rsidRDefault="00000000">
      <w:pPr>
        <w:numPr>
          <w:ilvl w:val="0"/>
          <w:numId w:val="1"/>
        </w:numPr>
        <w:spacing w:after="160" w:line="259" w:lineRule="auto"/>
        <w:contextualSpacing/>
        <w:rPr>
          <w:rFonts w:ascii="Calibri" w:hAnsi="Calibri" w:cs="Calibri"/>
          <w:b/>
          <w:bCs/>
          <w:kern w:val="2"/>
          <w:u w:val="single"/>
          <w14:ligatures w14:val="standardContextual"/>
        </w:rPr>
      </w:pPr>
      <w:r>
        <w:rPr>
          <w:rFonts w:ascii="Calibri" w:hAnsi="Calibri" w:cs="Calibri"/>
          <w:b/>
          <w:bCs/>
          <w:kern w:val="2"/>
          <w:u w:val="single"/>
          <w14:ligatures w14:val="standardContextual"/>
        </w:rPr>
        <w:t>Power.</w:t>
      </w:r>
    </w:p>
    <w:p w14:paraId="222B6F0E" w14:textId="77777777" w:rsidR="00D24D89"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Board power is 12VDC provided by a connector placed on right-hand side of the board.  This is fed to a 5V and 3.3V regulators to provide voltage for the remainder of the parts on the board.  Total power draw is on the order 100 ma.</w:t>
      </w:r>
    </w:p>
    <w:p w14:paraId="77503237" w14:textId="77777777" w:rsidR="00D24D89" w:rsidRDefault="00D24D89">
      <w:pPr>
        <w:spacing w:after="160" w:line="259" w:lineRule="auto"/>
        <w:ind w:left="720"/>
        <w:contextualSpacing/>
        <w:rPr>
          <w:rFonts w:ascii="Calibri" w:hAnsi="Calibri" w:cs="Calibri"/>
          <w:kern w:val="2"/>
          <w:u w:val="single"/>
          <w14:ligatures w14:val="standardContextual"/>
        </w:rPr>
      </w:pPr>
    </w:p>
    <w:p w14:paraId="5AA368C8" w14:textId="77777777" w:rsidR="00D24D89" w:rsidRDefault="00000000">
      <w:pPr>
        <w:numPr>
          <w:ilvl w:val="0"/>
          <w:numId w:val="1"/>
        </w:numPr>
        <w:spacing w:after="160" w:line="259" w:lineRule="auto"/>
        <w:contextualSpacing/>
        <w:rPr>
          <w:rFonts w:ascii="Calibri" w:hAnsi="Calibri" w:cs="Calibri"/>
          <w:b/>
          <w:bCs/>
          <w:kern w:val="2"/>
          <w:u w:val="single"/>
          <w14:ligatures w14:val="standardContextual"/>
        </w:rPr>
      </w:pPr>
      <w:r>
        <w:rPr>
          <w:rFonts w:ascii="Calibri" w:hAnsi="Calibri" w:cs="Calibri"/>
          <w:b/>
          <w:bCs/>
          <w:kern w:val="2"/>
          <w:u w:val="single"/>
          <w14:ligatures w14:val="standardContextual"/>
        </w:rPr>
        <w:t>I2C addressing and switching.</w:t>
      </w:r>
    </w:p>
    <w:p w14:paraId="49F7A3C9" w14:textId="77777777" w:rsidR="00D24D89"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 xml:space="preserve">The RF board is controlled via I2C communications from the V12 Main board.  An MCP23017 16 bit I/O expander is used to communicate with a central processor via SCL and  SDA serial lines brought in through pins 7 and 5 of J3, the “RF CONTROL” connector.  The I/O expander has hex address 0x24, and the user can select any of eight chip addresses from “000” to “111” shorting the solder switches provided (nb. the address of the expander for the T41 V12 primary receiver BPF address is “100”… so the solder switch on the board for A2 at JP4 should be filled and the rest left blank).  See the following for more information:  </w:t>
      </w:r>
      <w:hyperlink r:id="rId5">
        <w:r>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3C533BC6" w14:textId="77777777" w:rsidR="00D24D89" w:rsidRDefault="00D24D89">
      <w:pPr>
        <w:spacing w:after="160" w:line="259" w:lineRule="auto"/>
        <w:ind w:left="720"/>
        <w:contextualSpacing/>
        <w:rPr>
          <w:rFonts w:ascii="Calibri" w:hAnsi="Calibri" w:cs="Calibri"/>
          <w:kern w:val="2"/>
          <w14:ligatures w14:val="standardContextual"/>
        </w:rPr>
      </w:pPr>
    </w:p>
    <w:p w14:paraId="6028E807" w14:textId="77777777" w:rsidR="00D24D89" w:rsidRDefault="00000000">
      <w:pPr>
        <w:spacing w:after="160" w:line="259" w:lineRule="auto"/>
        <w:ind w:left="720"/>
        <w:contextualSpacing/>
        <w:rPr>
          <w:rFonts w:ascii="Calibri" w:hAnsi="Calibri" w:cs="Calibri"/>
          <w:strike/>
          <w:color w:val="FF0000"/>
          <w:kern w:val="2"/>
          <w14:ligatures w14:val="standardContextual"/>
        </w:rPr>
      </w:pPr>
      <w:r>
        <w:rPr>
          <w:rFonts w:ascii="Calibri" w:hAnsi="Calibri" w:cs="Calibri"/>
          <w:strike/>
          <w:color w:val="FF0000"/>
          <w:kern w:val="2"/>
          <w14:ligatures w14:val="standardContextual"/>
        </w:rPr>
        <w:t>Two eight-bit words written by the external processor to the I/O expander to activate the expanders output lines to select the filters.  Only one filter (or BYPASS) should be selected at a time even though multiple filters could be theoretically selected.  The I/O expander has two output ports, designated GPA0-GPA7 and GPB0-GPB7.  Writing a “1” to these locations selects the filters and the TX or RX switched paths.  The truth table for this is:</w:t>
      </w:r>
    </w:p>
    <w:p w14:paraId="1C5A513A" w14:textId="77777777" w:rsidR="00D24D89" w:rsidRDefault="00D24D89">
      <w:pPr>
        <w:rPr>
          <w:rFonts w:ascii="Helvetica Neue" w:eastAsia="Times New Roman" w:hAnsi="Helvetica Neue"/>
        </w:rPr>
      </w:pPr>
    </w:p>
    <w:p w14:paraId="4FEADB23" w14:textId="77777777" w:rsidR="00D24D89" w:rsidRDefault="00D24D89">
      <w:pPr>
        <w:rPr>
          <w:rFonts w:ascii="Helvetica Neue" w:eastAsia="Times New Roman" w:hAnsi="Helvetica Neue"/>
        </w:rPr>
      </w:pPr>
    </w:p>
    <w:p w14:paraId="7FE5A8F9" w14:textId="77777777" w:rsidR="00D24D89" w:rsidRDefault="00D24D89">
      <w:pPr>
        <w:rPr>
          <w:rFonts w:ascii="Helvetica Neue" w:eastAsia="Times New Roman" w:hAnsi="Helvetica Neue"/>
        </w:rPr>
      </w:pPr>
    </w:p>
    <w:p w14:paraId="289061CD" w14:textId="77777777" w:rsidR="00D24D89" w:rsidRDefault="00D24D89">
      <w:pPr>
        <w:rPr>
          <w:rFonts w:ascii="Helvetica Neue" w:eastAsia="Times New Roman" w:hAnsi="Helvetica Neue"/>
        </w:rPr>
      </w:pPr>
    </w:p>
    <w:p w14:paraId="4604CD5D" w14:textId="77777777" w:rsidR="00D24D89" w:rsidRDefault="00000000">
      <w:pPr>
        <w:rPr>
          <w:rFonts w:ascii="Helvetica Neue" w:eastAsia="Times New Roman" w:hAnsi="Helvetica Neue"/>
        </w:rPr>
      </w:pPr>
      <w:r>
        <w:rPr>
          <w:noProof/>
        </w:rPr>
        <w:lastRenderedPageBreak/>
        <w:drawing>
          <wp:inline distT="0" distB="0" distL="0" distR="0" wp14:anchorId="431EC48C" wp14:editId="0E67161D">
            <wp:extent cx="5943600" cy="5900420"/>
            <wp:effectExtent l="0" t="0" r="0" b="0"/>
            <wp:docPr id="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mage"/>
                    <pic:cNvPicPr>
                      <a:picLocks noChangeAspect="1" noChangeArrowheads="1"/>
                    </pic:cNvPicPr>
                  </pic:nvPicPr>
                  <pic:blipFill>
                    <a:blip r:embed="rId6"/>
                    <a:stretch>
                      <a:fillRect/>
                    </a:stretch>
                  </pic:blipFill>
                  <pic:spPr bwMode="auto">
                    <a:xfrm>
                      <a:off x="0" y="0"/>
                      <a:ext cx="5943600" cy="5900420"/>
                    </a:xfrm>
                    <a:prstGeom prst="rect">
                      <a:avLst/>
                    </a:prstGeom>
                  </pic:spPr>
                </pic:pic>
              </a:graphicData>
            </a:graphic>
          </wp:inline>
        </w:drawing>
      </w:r>
    </w:p>
    <w:p w14:paraId="41474519" w14:textId="77777777" w:rsidR="00D24D89" w:rsidRDefault="00D24D89">
      <w:pPr>
        <w:rPr>
          <w:rFonts w:ascii="Helvetica Neue" w:eastAsia="Times New Roman" w:hAnsi="Helvetica Neue"/>
        </w:rPr>
      </w:pPr>
    </w:p>
    <w:p w14:paraId="6632A187" w14:textId="77777777" w:rsidR="00D24D89" w:rsidRDefault="00000000">
      <w:pPr>
        <w:rPr>
          <w:rFonts w:ascii="Helvetica Neue" w:eastAsia="Times New Roman" w:hAnsi="Helvetica Neue"/>
        </w:rPr>
      </w:pPr>
      <w:r>
        <w:rPr>
          <w:rFonts w:ascii="Helvetica Neue" w:eastAsia="Times New Roman" w:hAnsi="Helvetica Neue"/>
        </w:rPr>
        <w:br/>
        <w:t>Turns out, they aren't that bad to put on the PCB. (I did a post on this.) I can pass along some pointers, that you probably already know but some others may not:</w:t>
      </w:r>
    </w:p>
    <w:p w14:paraId="3F6BA2E4" w14:textId="77777777" w:rsidR="00D24D89" w:rsidRDefault="00D24D89">
      <w:pPr>
        <w:rPr>
          <w:rFonts w:ascii="Helvetica Neue" w:eastAsia="Times New Roman" w:hAnsi="Helvetica Neue"/>
        </w:rPr>
      </w:pPr>
    </w:p>
    <w:p w14:paraId="1F54DF6B" w14:textId="77777777" w:rsidR="00D24D89" w:rsidRDefault="00000000">
      <w:pPr>
        <w:rPr>
          <w:rFonts w:ascii="Helvetica Neue" w:eastAsia="Times New Roman" w:hAnsi="Helvetica Neue"/>
        </w:rPr>
      </w:pPr>
      <w:r>
        <w:rPr>
          <w:rFonts w:ascii="Helvetica Neue" w:eastAsia="Times New Roman"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14:paraId="160BD681" w14:textId="77777777" w:rsidR="00D24D89" w:rsidRDefault="00D24D89">
      <w:pPr>
        <w:rPr>
          <w:rFonts w:ascii="Helvetica Neue" w:eastAsia="Times New Roman" w:hAnsi="Helvetica Neue"/>
        </w:rPr>
      </w:pPr>
    </w:p>
    <w:p w14:paraId="5F30C30A" w14:textId="77777777" w:rsidR="00D24D89" w:rsidRDefault="00000000">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7" w:tgtFrame="_blank">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6CB74EF7" w14:textId="77777777" w:rsidR="00D24D89" w:rsidRDefault="00D24D89">
      <w:pPr>
        <w:rPr>
          <w:rFonts w:ascii="Helvetica Neue" w:eastAsia="Times New Roman" w:hAnsi="Helvetica Neue"/>
        </w:rPr>
      </w:pPr>
    </w:p>
    <w:p w14:paraId="4F5D4EFE" w14:textId="77777777" w:rsidR="00D24D89" w:rsidRDefault="00000000">
      <w:pPr>
        <w:rPr>
          <w:rFonts w:ascii="Helvetica Neue" w:eastAsia="Times New Roman" w:hAnsi="Helvetica Neue"/>
        </w:rPr>
      </w:pPr>
      <w:r>
        <w:rPr>
          <w:rFonts w:ascii="Helvetica Neue" w:eastAsia="Times New Roman"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14:paraId="49AC4A74" w14:textId="77777777" w:rsidR="00D24D89" w:rsidRDefault="00D24D89">
      <w:pPr>
        <w:rPr>
          <w:rFonts w:ascii="Helvetica Neue" w:eastAsia="Times New Roman" w:hAnsi="Helvetica Neue"/>
        </w:rPr>
      </w:pPr>
    </w:p>
    <w:p w14:paraId="71B1185B" w14:textId="77777777" w:rsidR="00D24D89" w:rsidRDefault="00000000">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3200618E" w14:textId="77777777" w:rsidR="00D24D89" w:rsidRDefault="00D24D89">
      <w:pPr>
        <w:rPr>
          <w:rFonts w:ascii="Helvetica Neue" w:eastAsia="Times New Roman" w:hAnsi="Helvetica Neue"/>
        </w:rPr>
      </w:pPr>
    </w:p>
    <w:p w14:paraId="53AB6039" w14:textId="77777777" w:rsidR="00D24D89" w:rsidRDefault="00000000">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70974A2A" w14:textId="77777777" w:rsidR="00D24D89" w:rsidRDefault="00D24D89">
      <w:pPr>
        <w:rPr>
          <w:rFonts w:ascii="Helvetica Neue" w:eastAsia="Times New Roman" w:hAnsi="Helvetica Neue"/>
        </w:rPr>
      </w:pPr>
    </w:p>
    <w:p w14:paraId="770516D4" w14:textId="77777777" w:rsidR="00D24D89" w:rsidRDefault="00000000">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1949C0AC" w14:textId="77777777" w:rsidR="00D24D89" w:rsidRDefault="00D24D89"/>
    <w:p w14:paraId="3D71517D" w14:textId="77777777" w:rsidR="00D24D89" w:rsidRDefault="00000000">
      <w:pPr>
        <w:rPr>
          <w:rFonts w:ascii="Calibri" w:hAnsi="Calibri" w:cs="Calibri"/>
          <w:b/>
          <w:bCs/>
          <w:kern w:val="2"/>
          <w14:ligatures w14:val="standardContextual"/>
        </w:rPr>
      </w:pPr>
      <w:r>
        <w:rPr>
          <w:rFonts w:ascii="Calibri" w:hAnsi="Calibri" w:cs="Calibri"/>
          <w:b/>
          <w:bCs/>
          <w:kern w:val="2"/>
          <w14:ligatures w14:val="standardContextual"/>
        </w:rPr>
        <w:t>TCXO Upgrade</w:t>
      </w:r>
    </w:p>
    <w:p w14:paraId="3F4FFB6E" w14:textId="77777777" w:rsidR="00D24D89" w:rsidRDefault="00D24D89">
      <w:pPr>
        <w:rPr>
          <w:rFonts w:ascii="Calibri" w:hAnsi="Calibri" w:cs="Calibri"/>
          <w:b/>
          <w:bCs/>
          <w:kern w:val="2"/>
          <w14:ligatures w14:val="standardContextual"/>
        </w:rPr>
      </w:pPr>
    </w:p>
    <w:p w14:paraId="7A6D8EB0" w14:textId="77777777" w:rsidR="00D24D89" w:rsidRDefault="00000000">
      <w:pPr>
        <w:rPr>
          <w:rFonts w:ascii="Calibri" w:hAnsi="Calibri" w:cs="Calibri"/>
          <w:kern w:val="2"/>
          <w14:ligatures w14:val="standardContextual"/>
        </w:rPr>
      </w:pPr>
      <w:r>
        <w:rPr>
          <w:rFonts w:ascii="Calibri" w:hAnsi="Calibri" w:cs="Calibri"/>
          <w:kern w:val="2"/>
          <w14:ligatures w14:val="standardContextual"/>
        </w:rPr>
        <w:t>The board revision dated 04/08/2024 had an error on the silkscreen for the footprint of Y1. The indicator dot should be at the location shown in this image.</w:t>
      </w:r>
    </w:p>
    <w:p w14:paraId="5807ED13" w14:textId="77777777" w:rsidR="00D24D89" w:rsidRDefault="00000000">
      <w:pPr>
        <w:rPr>
          <w:rFonts w:ascii="Calibri" w:hAnsi="Calibri" w:cs="Calibri"/>
          <w:b/>
          <w:bCs/>
          <w:kern w:val="2"/>
          <w14:ligatures w14:val="standardContextual"/>
        </w:rPr>
      </w:pPr>
      <w:r>
        <w:rPr>
          <w:rFonts w:ascii="Calibri" w:hAnsi="Calibri" w:cs="Calibri"/>
          <w:b/>
          <w:bCs/>
          <w:noProof/>
          <w:kern w:val="2"/>
          <w14:ligatures w14:val="standardContextual"/>
        </w:rPr>
        <w:lastRenderedPageBreak/>
        <w:drawing>
          <wp:anchor distT="0" distB="0" distL="0" distR="0" simplePos="0" relativeHeight="3" behindDoc="0" locked="0" layoutInCell="0" allowOverlap="1" wp14:anchorId="23C8158D" wp14:editId="4DEF92D8">
            <wp:simplePos x="0" y="0"/>
            <wp:positionH relativeFrom="column">
              <wp:align>center</wp:align>
            </wp:positionH>
            <wp:positionV relativeFrom="paragraph">
              <wp:posOffset>635</wp:posOffset>
            </wp:positionV>
            <wp:extent cx="4957445" cy="3233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57445" cy="3233420"/>
                    </a:xfrm>
                    <a:prstGeom prst="rect">
                      <a:avLst/>
                    </a:prstGeom>
                  </pic:spPr>
                </pic:pic>
              </a:graphicData>
            </a:graphic>
          </wp:anchor>
        </w:drawing>
      </w:r>
    </w:p>
    <w:sectPr w:rsidR="00D24D8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Helvetica Neue">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3BA7"/>
    <w:multiLevelType w:val="multilevel"/>
    <w:tmpl w:val="46D4BB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EF6FAA"/>
    <w:multiLevelType w:val="multilevel"/>
    <w:tmpl w:val="2A1255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45997317">
    <w:abstractNumId w:val="1"/>
  </w:num>
  <w:num w:numId="2" w16cid:durableId="95244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89"/>
    <w:rsid w:val="00237A8E"/>
    <w:rsid w:val="00B50F6D"/>
    <w:rsid w:val="00D24D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3F1F"/>
  <w15:docId w15:val="{872C84AF-732B-4A2F-8A02-CDB7C5B0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rPr>
      <w:rFonts w:ascii="Aptos" w:eastAsia="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257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257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257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25773"/>
    <w:rPr>
      <w:i/>
      <w:iCs/>
      <w:color w:val="404040" w:themeColor="text1" w:themeTint="BF"/>
    </w:rPr>
  </w:style>
  <w:style w:type="character" w:styleId="IntenseEmphasis">
    <w:name w:val="Intense Emphasis"/>
    <w:basedOn w:val="DefaultParagraphFont"/>
    <w:uiPriority w:val="21"/>
    <w:qFormat/>
    <w:rsid w:val="00225773"/>
    <w:rPr>
      <w:i/>
      <w:iCs/>
      <w:color w:val="0F4761" w:themeColor="accent1" w:themeShade="BF"/>
    </w:rPr>
  </w:style>
  <w:style w:type="character" w:customStyle="1" w:styleId="IntenseQuoteChar">
    <w:name w:val="Intense Quote Char"/>
    <w:basedOn w:val="DefaultParagraphFont"/>
    <w:link w:val="IntenseQuote"/>
    <w:uiPriority w:val="30"/>
    <w:qFormat/>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paragraph" w:styleId="ListParagraph">
    <w:name w:val="List Paragraph"/>
    <w:basedOn w:val="Normal"/>
    <w:uiPriority w:val="34"/>
    <w:qFormat/>
    <w:rsid w:val="00225773"/>
    <w:pPr>
      <w:ind w:left="720"/>
      <w:contextualSpacing/>
    </w:pPr>
  </w:style>
  <w:style w:type="paragraph" w:styleId="IntenseQuote">
    <w:name w:val="Intense Quote"/>
    <w:basedOn w:val="Normal"/>
    <w:next w:val="Normal"/>
    <w:link w:val="IntenseQuoteChar"/>
    <w:uiPriority w:val="30"/>
    <w:qFormat/>
    <w:rsid w:val="00225773"/>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NxPWwHUJCq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RWJSCHMIDT/T41/blob/main/T41_V012_Files_01-15-24/T41_V012_Design_Documents/T41_V12.6_I2C_Assignmen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dc:description/>
  <cp:lastModifiedBy>William Schmidt</cp:lastModifiedBy>
  <cp:revision>6</cp:revision>
  <dcterms:created xsi:type="dcterms:W3CDTF">2024-04-23T16:05:00Z</dcterms:created>
  <dcterms:modified xsi:type="dcterms:W3CDTF">2024-07-10T05:18:00Z</dcterms:modified>
  <dc:language>en-US</dc:language>
</cp:coreProperties>
</file>