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180" w:rsidRPr="00854180" w:rsidRDefault="00854180" w:rsidP="005C02C6">
      <w:pP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b/>
          <w:sz w:val="22"/>
          <w:szCs w:val="22"/>
        </w:rPr>
        <w:t>Relevant references</w:t>
      </w:r>
    </w:p>
    <w:p w:rsidR="00854180" w:rsidRPr="00854180" w:rsidRDefault="00854180" w:rsidP="005C02C6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Campbell GS, Norman JM. An introduction to environmental biophysics. Springer Science &amp; Business Media; 2012 Dec 6.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Davidson EA,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Caramori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SS, Savage K. The D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ual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rrhenius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and M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ichaelis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–M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enten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kinetics model for decomposition of soil organic matter at hourly to seasonal time scales. Global Change Biology. 2012 Jan;18(1):371-84.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De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Pury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DG, Farquhar GD. Simple scaling of photosynthesis from leaves to canopies without the errors of big</w:t>
      </w:r>
      <w:r w:rsidRPr="00854180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leaf models. Plant, Cell &amp; Environment. 1997 May;20(5):537-57.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Ewers BE, Mackay DS,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S. Interannual consistency in canopy stomatal conductance control of leaf water potential across seven tree species. Tree Physiology. 2007 Jan 1;27(1):11-24.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Ewers BE, Mackay DS, Tang J,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Bolstad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PV,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S.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Intercomparison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of sugar maple (Acer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saccharum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Marsh.) stand transpiration responses to environmental conditions from the Western Great Lakes Region of the United States. agricultural and forest meteorology. 2008 Feb 13;148(2):231-46.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Farquhar GD, von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Caemmerer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SV, Berry JA. A biochemical model of photosynthetic CO2 assimilation in leaves of C 3 species. Planta. 1980 Jun 1;149(1):78-90.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Johnson DM,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Domec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JC, Carter Berry Z,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Schwantes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AM,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McCulloh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KA, Woodruff DR, Wayne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Polley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Wortemann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R, Swenson JJ, Scott Mackay D, McDowell NG. Co</w:t>
      </w:r>
      <w:r w:rsidRPr="00854180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occurring woody species have diverse hydraulic strategies and mortality rates during an extreme drought. Plant, cell &amp; environment. 2018 Mar;41(3):576-88.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Katul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Leuning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R, Oren R. Relationship between plant hydraulic and biochemical properties derived from a steady</w:t>
      </w:r>
      <w:r w:rsidRPr="00854180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state coupled water and carbon transport model. Plant, Cell &amp; Environment. 2003 Mar;26(3):339-50.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Loranty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MM, Mackay DS, Ewers BE,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Traver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E, Kruger EL. Competition for light between individual trees lowers reference canopy stomatal conductance: Results from a model. Journal of Geophysical Research: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Biogeosciences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. 2010 Dec;115(G4).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Mackay DS,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Ahl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DE, Ewers BE,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S, Gower ST, Burrows SN. Physiological tradeoffs in the parameterization of a model of canopy transpiration. Advances in Water Resources. 2003 Feb 1;26(2):179-94.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Mackay DS, Ewers BE,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Loranty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MM, Kruger EL,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S. Bayesian analysis of canopy transpiration models: a test of posterior parameter means against measurements. Journal of Hydrology. 2012 Apr 11;432:75-83.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Mackay DS, Roberts DE, Ewers BE, Sperry JS, McDowell NG,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Pockman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WT. Interdependence of chronic hydraulic dysfunction and canopy processes can improve integrated models of tree response to drought. Water Resources Research. 2015 Aug;51(8):6156-76.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Mackay DS, Savoy PR,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Grossiord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C, Tai X,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Pleban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JR, Wang DR, McDowell NG, Adams HD, Sperry JS. Conifers depend on established roots during drought: results from a coupled model of carbon allocation and hydraulics. New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Phytologist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. 2019 Jul 5.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Mcdowell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NG, Williams AP, Xu C,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Pockman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WT, Dickman LT,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Sevanto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Pangle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Limousin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Plaut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J, Mackay DS, Ogee J. Multi-scale predictions of massive conifer mortality due to chronic temperature rise. Nature Climate Change. 2016 Mar;6(3):295.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Oren R, Sperry JS,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Katul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GG, Pataki DE, Ewers BE, Phillips N,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Schäfer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KV. Survey and synthesis of intra</w:t>
      </w:r>
      <w:r w:rsidRPr="00854180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and interspecific variation in stomatal sensitivity to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vapour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pressure deficit. Plant, Cell &amp; Environment. 1999 Dec;22(12):1515-26.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Porporato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D’odorico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Laio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F, Rodriguez-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Iturbe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I. Hydrologic controls on soil carbon and nitrogen cycles. I. Modeling scheme. Advances in Water Resources. 2003 Jan 1;26(1):45-58.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 xml:space="preserve">Rawls WJ, Ahuja LR,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Brakensiek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DL. Estimating soil hydraulic properties from soils data. Indirect methods for estimating the hydraulic properties of unsaturated soils. 1992 Oct 11:329-40.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Rawls WJ,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Brakensiek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DL. Prediction of soil water properties for hydrologic modeling.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InWatershed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management in the eighties 1985 Apr 30 (pp. 293-299). ASCE.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Samanta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S, Mackay DS, Clayton MK, Kruger EL, Ewers BE. Bayesian analysis for uncertainty estimation of a canopy transpiration model. Water Resources Research. 2007 Apr;43(4).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Savoy P, Mackay DS. Modeling the seasonal dynamics of leaf area index based on environmental constraints to canopy development. Agricultural and forest meteorology. 2015 Jan 15;200:46-56.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Sperry JS, Adler FR, Campbell GS, Comstock JP. Limitation of plant water use by rhizosphere and xylem conductance: results from a model. Plant, Cell &amp; Environment. 1998 Apr;21(4):347-59.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Spitters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CJ, Toussaint HA,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Goudriaan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J. Separating the diffuse and direct component of global radiation and its implications for modeling canopy photosynthesis Part I. Components of incoming radiation. Agricultural and Forest Meteorology. 1986 Oct 1;38(1-3):217-29.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Tai X, Mackay DS,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Anderegg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WR, Sperry JS, Brooks PD. Plant hydraulics improves and topography mediates prediction of aspen mortality in southwestern USA. New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Phytologist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. 2017 Jan;213(1):113-27.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Tai X, Mackay DS, Sperry JS, Brooks P,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Anderegg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WR, Flanagan LB, Rood SB, Hopkinson C. Distributed plant hydraulic and hydrological modeling to understand the susceptibility of riparian woodland trees to drought</w:t>
      </w:r>
      <w:r w:rsidRPr="00854180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induced mortality. Water Resources Research. 2018 Jul;54(7):4901-15.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Venturas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MD, Sperry JS,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Hacke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UG. Plant xylem hydraulics: what we understand, current research, and future challenges. Journal of Integrative Plant Biology. 2017 Jun;59(6):356-89.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Wang DR, Guadagno CR, Mao X, Mackay DS,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Pleban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JR, Baker RL,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Weinig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C,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Jannink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JL, Ewers BE. A framework for genomics-informed </w:t>
      </w: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ecophysiological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modeling in plants. Journal of experimental botany. 2019 Mar 2;70(9):2561-74.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Woodrow IE, Berry JA. Enzymatic regulation of photosynthetic CO2, fixation in C3 plants. Annual Review of Plant Physiology and Plant Molecular Biology. 1988 Jun;39(1):533-94.</w:t>
      </w:r>
    </w:p>
    <w:p w:rsidR="00854180" w:rsidRPr="00854180" w:rsidRDefault="00854180" w:rsidP="0085418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>Wullschleger</w:t>
      </w:r>
      <w:proofErr w:type="spellEnd"/>
      <w:r w:rsidRPr="008541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SD. Biochemical limitations to carbon assimilation in C3 plants—a retrospective analysis of the A/Ci curves from 109 species. Journal of experimental botany. 1993 May 1;44(5):907-20.</w:t>
      </w:r>
      <w:bookmarkStart w:id="0" w:name="_GoBack"/>
      <w:bookmarkEnd w:id="0"/>
    </w:p>
    <w:sectPr w:rsidR="00854180" w:rsidRPr="00854180" w:rsidSect="0072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2F61"/>
    <w:multiLevelType w:val="hybridMultilevel"/>
    <w:tmpl w:val="C61E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20"/>
    <w:rsid w:val="00125220"/>
    <w:rsid w:val="005C02C6"/>
    <w:rsid w:val="00721A24"/>
    <w:rsid w:val="00854180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711FC"/>
  <w15:chartTrackingRefBased/>
  <w15:docId w15:val="{CD59063D-E238-034F-B975-62F2806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2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22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5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R Wang</dc:creator>
  <cp:keywords/>
  <dc:description/>
  <cp:lastModifiedBy>Diane R Wang</cp:lastModifiedBy>
  <cp:revision>2</cp:revision>
  <dcterms:created xsi:type="dcterms:W3CDTF">2019-09-05T19:53:00Z</dcterms:created>
  <dcterms:modified xsi:type="dcterms:W3CDTF">2019-09-05T20:08:00Z</dcterms:modified>
</cp:coreProperties>
</file>