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80"/>
      </w:pPr>
      <w:r>
        <w:rPr>
          <w:b/>
          <w:color w:val="1F4E79"/>
          <w:sz w:val="36"/>
        </w:rPr>
        <w:t>Heart-failure v2 statistical handoff</w:t>
      </w:r>
    </w:p>
    <w:p>
      <w:pPr>
        <w:spacing w:before="0" w:after="160"/>
        <w:ind w:left="80"/>
      </w:pPr>
      <w:r>
        <w:rPr>
          <w:b w:val="0"/>
          <w:sz w:val="24"/>
        </w:rPr>
        <w:t>Real-data demo · analysis, interpretation, and figure-reading guide</w:t>
      </w:r>
    </w:p>
    <w:p>
      <w:pPr>
        <w:spacing w:after="40"/>
      </w:pPr>
      <w:r>
        <w:rPr>
          <w:b/>
          <w:color w:val="1F4E79"/>
          <w:sz w:val="18"/>
        </w:rPr>
        <w:t xml:space="preserve">Dataset: </w:t>
      </w:r>
      <w:r>
        <w:rPr>
          <w:sz w:val="18"/>
        </w:rPr>
        <w:t>UCI Heart Failure Clinical Records (n=299)</w:t>
      </w:r>
    </w:p>
    <w:p>
      <w:pPr>
        <w:spacing w:after="40"/>
      </w:pPr>
      <w:r>
        <w:rPr>
          <w:b/>
          <w:color w:val="1F4E79"/>
          <w:sz w:val="18"/>
        </w:rPr>
        <w:t xml:space="preserve">Design: </w:t>
      </w:r>
      <w:r>
        <w:rPr>
          <w:sz w:val="18"/>
        </w:rPr>
        <w:t>Observational follow-up cohort; secondary analysis</w:t>
      </w:r>
    </w:p>
    <w:p>
      <w:pPr>
        <w:spacing w:after="40"/>
      </w:pPr>
      <w:r>
        <w:rPr>
          <w:b/>
          <w:color w:val="1F4E79"/>
          <w:sz w:val="18"/>
        </w:rPr>
        <w:t xml:space="preserve">Primary outcome: </w:t>
      </w:r>
      <w:r>
        <w:rPr>
          <w:sz w:val="18"/>
        </w:rPr>
        <w:t>Time to death with censoring</w:t>
      </w:r>
    </w:p>
    <w:p>
      <w:pPr>
        <w:spacing w:after="40"/>
      </w:pPr>
      <w:r>
        <w:rPr>
          <w:b/>
          <w:color w:val="1F4E79"/>
          <w:sz w:val="18"/>
        </w:rPr>
        <w:t xml:space="preserve">Review state: </w:t>
      </w:r>
      <w:r>
        <w:rPr>
          <w:sz w:val="18"/>
        </w:rPr>
        <w:t>needs-author-decision</w:t>
      </w:r>
    </w:p>
    <w:p>
      <w:pPr>
        <w:spacing w:before="240" w:after="80"/>
        <w:ind w:left="80"/>
      </w:pPr>
      <w:r>
        <w:rPr>
          <w:b/>
          <w:sz w:val="24"/>
        </w:rPr>
        <w:t>Asset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Claim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Figure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Fig1.png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Observed survival differs across prespecified ejection-fraction groups.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Figure 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Fig2.png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EF and serum creatinine retain prognostic associations after prespecified adjustment.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Figure 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Fig3.png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 two-feature model retains similar internal discrimination to the full baseline model.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Table 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Table1.csv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 table describes, rather than balances, outcome groups.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Table 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Table2.csv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The table reports effect size, uncertainty, and diagnostics together.</w:t>
            </w:r>
          </w:p>
        </w:tc>
      </w:tr>
    </w:tbl>
    <w:p>
      <w:pPr>
        <w:pageBreakBefore/>
        <w:spacing w:before="0" w:after="0"/>
      </w:pPr>
      <w:r>
        <w:rPr>
          <w:color w:val="FFFFFF"/>
          <w:sz w:val="2"/>
        </w:rPr>
        <w:t>.</w:t>
      </w:r>
    </w:p>
    <w:p>
      <w:pPr>
        <w:spacing w:before="280" w:after="80"/>
        <w:ind w:left="80"/>
      </w:pPr>
      <w:r>
        <w:rPr>
          <w:b/>
          <w:color w:val="1F4E79"/>
          <w:sz w:val="26"/>
        </w:rPr>
        <w:t>Figure 1 — Kaplan–Meier survival</w:t>
      </w:r>
    </w:p>
    <w:p>
      <w:pPr>
        <w:spacing w:after="40"/>
      </w:pPr>
      <w:r>
        <w:rPr>
          <w:b/>
          <w:color w:val="1F4E79"/>
          <w:sz w:val="18"/>
        </w:rPr>
        <w:t xml:space="preserve">Claim: </w:t>
      </w:r>
      <w:r>
        <w:rPr>
          <w:sz w:val="18"/>
        </w:rPr>
        <w:t>Observed survival differs across prespecified ejection-fraction groups.</w:t>
      </w:r>
    </w:p>
    <w:p>
      <w:pPr>
        <w:spacing w:after="40"/>
      </w:pPr>
      <w:r>
        <w:rPr>
          <w:b/>
          <w:color w:val="1F4E79"/>
          <w:sz w:val="18"/>
        </w:rPr>
        <w:t xml:space="preserve">Method rationale: </w:t>
      </w:r>
      <w:r>
        <w:rPr>
          <w:sz w:val="18"/>
        </w:rPr>
        <w:t>Time-to-event outcome with censoring requires Kaplan–Meier estimation; the overall log-rank test compares the three curves.</w:t>
      </w:r>
    </w:p>
    <w:p>
      <w:pPr>
        <w:spacing w:after="40"/>
      </w:pPr>
      <w:r>
        <w:rPr>
          <w:b/>
          <w:color w:val="1F4E79"/>
          <w:sz w:val="18"/>
        </w:rPr>
        <w:t xml:space="preserve">Scientific result: </w:t>
      </w:r>
      <w:r>
        <w:rPr>
          <w:sz w:val="18"/>
        </w:rPr>
        <w:t>Overall log-rank p &lt;0.001.</w:t>
      </w:r>
    </w:p>
    <w:p>
      <w:pPr>
        <w:spacing w:after="40"/>
      </w:pPr>
      <w:r>
        <w:rPr>
          <w:b/>
          <w:color w:val="1F4E79"/>
          <w:sz w:val="18"/>
        </w:rPr>
        <w:t xml:space="preserve">Interpretation: </w:t>
      </w:r>
      <w:r>
        <w:rPr>
          <w:sz w:val="18"/>
        </w:rPr>
        <w:t>Lower baseline EF is associated with poorer observed survival.</w:t>
      </w:r>
    </w:p>
    <w:p>
      <w:pPr>
        <w:spacing w:after="40"/>
      </w:pPr>
      <w:r>
        <w:rPr>
          <w:b/>
          <w:color w:val="1F4E79"/>
          <w:sz w:val="18"/>
        </w:rPr>
        <w:t xml:space="preserve">Caption: </w:t>
      </w:r>
      <w:r>
        <w:rPr>
          <w:sz w:val="18"/>
        </w:rPr>
        <w:t>Kaplan–Meier survival by prespecified baseline ejection-fraction group, with 95% confidence bands, censoring marks, and numbers at risk.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279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9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  <w:color w:val="1F4E79"/>
          <w:sz w:val="18"/>
        </w:rPr>
        <w:t>How to read</w:t>
      </w:r>
    </w:p>
    <w:p>
      <w:pPr>
        <w:pStyle w:val="ListBullet"/>
        <w:spacing w:after="20"/>
      </w:pPr>
      <w:r>
        <w:rPr>
          <w:sz w:val="18"/>
        </w:rPr>
        <w:t>Axes — follow-up days are on the horizontal axis; the vertical axis is the estimated probability of remaining alive.</w:t>
      </w:r>
    </w:p>
    <w:p>
      <w:pPr>
        <w:pStyle w:val="ListBullet"/>
        <w:spacing w:after="20"/>
      </w:pPr>
      <w:r>
        <w:rPr>
          <w:sz w:val="18"/>
        </w:rPr>
        <w:t>Colors — orange-red is EF ≤30%, gold is EF 31–45%, and green is EF &gt;45%.</w:t>
      </w:r>
    </w:p>
    <w:p>
      <w:pPr>
        <w:pStyle w:val="ListBullet"/>
        <w:spacing w:after="20"/>
      </w:pPr>
      <w:r>
        <w:rPr>
          <w:sz w:val="18"/>
        </w:rPr>
        <w:t>Steps and lines — each downward step is an observed death; a horizontal segment means no death was observed between event times.</w:t>
      </w:r>
    </w:p>
    <w:p>
      <w:pPr>
        <w:pStyle w:val="ListBullet"/>
        <w:spacing w:after="20"/>
      </w:pPr>
      <w:r>
        <w:rPr>
          <w:sz w:val="18"/>
        </w:rPr>
        <w:t>Plus signs — these are censored patients, not deaths; follow-up ended without a recorded death at that time.</w:t>
      </w:r>
    </w:p>
    <w:p>
      <w:pPr>
        <w:pStyle w:val="ListBullet"/>
        <w:spacing w:after="20"/>
      </w:pPr>
      <w:r>
        <w:rPr>
          <w:sz w:val="18"/>
        </w:rPr>
        <w:t>Shaded bands — these are 95% confidence intervals around each survival estimate.</w:t>
      </w:r>
    </w:p>
    <w:p>
      <w:pPr>
        <w:pStyle w:val="ListBullet"/>
        <w:spacing w:after="20"/>
      </w:pPr>
      <w:r>
        <w:rPr>
          <w:sz w:val="18"/>
        </w:rPr>
        <w:t>Numbers at risk — the color-matched rows show how many patients remain under observation and event-free just before each time point.</w:t>
      </w:r>
    </w:p>
    <w:p>
      <w:pPr>
        <w:pStyle w:val="ListBullet"/>
        <w:spacing w:after="20"/>
      </w:pPr>
      <w:r>
        <w:rPr>
          <w:sz w:val="18"/>
        </w:rPr>
        <w:t>Reading order — compare when curves fall, how far they separate, how wide the bands are, and how many patients remain at risk.</w:t>
      </w:r>
    </w:p>
    <w:p>
      <w:pPr>
        <w:pStyle w:val="ListBullet"/>
        <w:spacing w:after="20"/>
      </w:pPr>
      <w:r>
        <w:rPr>
          <w:sz w:val="18"/>
        </w:rPr>
        <w:t>Late follow-up — treat tail separation cautiously when the risk rows contain only a few patients.</w:t>
      </w:r>
    </w:p>
    <w:p>
      <w:pPr>
        <w:spacing w:after="40"/>
      </w:pPr>
      <w:r>
        <w:rPr>
          <w:b/>
          <w:color w:val="1F4E79"/>
          <w:sz w:val="18"/>
        </w:rPr>
        <w:t xml:space="preserve">Common misreading: </w:t>
      </w:r>
      <w:r>
        <w:rPr>
          <w:sz w:val="18"/>
        </w:rPr>
        <w:t>Curve separation is not causal evidence.</w:t>
      </w:r>
    </w:p>
    <w:p>
      <w:pPr>
        <w:spacing w:after="40"/>
      </w:pPr>
      <w:r>
        <w:rPr>
          <w:b/>
          <w:color w:val="1F4E79"/>
          <w:sz w:val="18"/>
        </w:rPr>
        <w:t xml:space="preserve">Cannot conclude: </w:t>
      </w:r>
      <w:r>
        <w:rPr>
          <w:sz w:val="18"/>
        </w:rPr>
        <w:t>A treatment effect or a clinically optimal EF threshold.</w:t>
      </w:r>
    </w:p>
    <w:p>
      <w:pPr>
        <w:spacing w:after="40"/>
      </w:pPr>
      <w:r>
        <w:rPr>
          <w:b/>
          <w:color w:val="1F4E79"/>
          <w:sz w:val="18"/>
        </w:rPr>
        <w:t xml:space="preserve">Review status: </w:t>
      </w:r>
      <w:r>
        <w:rPr>
          <w:sz w:val="18"/>
        </w:rPr>
        <w:t>final</w:t>
      </w:r>
    </w:p>
    <w:p>
      <w:pPr>
        <w:spacing w:after="40"/>
      </w:pPr>
      <w:r>
        <w:rPr>
          <w:b/>
          <w:color w:val="1F4E79"/>
          <w:sz w:val="18"/>
        </w:rPr>
        <w:t xml:space="preserve">Citation location: </w:t>
      </w:r>
      <w:r>
        <w:rPr>
          <w:sz w:val="18"/>
        </w:rPr>
        <w:t>Results — survival analysis</w:t>
      </w:r>
    </w:p>
    <w:p>
      <w:pPr>
        <w:spacing w:after="40"/>
      </w:pPr>
      <w:r>
        <w:rPr>
          <w:b/>
          <w:color w:val="1F4E79"/>
          <w:sz w:val="18"/>
        </w:rPr>
        <w:t xml:space="preserve">Reproducibility: </w:t>
      </w:r>
      <w:r>
        <w:rPr>
          <w:sz w:val="18"/>
        </w:rPr>
        <w:t>v2_demo/04_code/run_demo.py</w:t>
      </w:r>
    </w:p>
    <w:p>
      <w:pPr>
        <w:pageBreakBefore/>
        <w:spacing w:before="0" w:after="0"/>
      </w:pPr>
      <w:r>
        <w:rPr>
          <w:color w:val="FFFFFF"/>
          <w:sz w:val="2"/>
        </w:rPr>
        <w:t>.</w:t>
      </w:r>
    </w:p>
    <w:p>
      <w:pPr>
        <w:spacing w:before="280" w:after="80"/>
        <w:ind w:left="80"/>
      </w:pPr>
      <w:r>
        <w:rPr>
          <w:b/>
          <w:color w:val="1F4E79"/>
          <w:sz w:val="26"/>
        </w:rPr>
        <w:t>Figure 2 — Adjusted Cox model</w:t>
      </w:r>
    </w:p>
    <w:p>
      <w:pPr>
        <w:spacing w:after="40"/>
      </w:pPr>
      <w:r>
        <w:rPr>
          <w:b/>
          <w:color w:val="1F4E79"/>
          <w:sz w:val="18"/>
        </w:rPr>
        <w:t xml:space="preserve">Claim: </w:t>
      </w:r>
      <w:r>
        <w:rPr>
          <w:sz w:val="18"/>
        </w:rPr>
        <w:t>EF and serum creatinine retain prognostic associations after prespecified adjustment.</w:t>
      </w:r>
    </w:p>
    <w:p>
      <w:pPr>
        <w:spacing w:after="40"/>
      </w:pPr>
      <w:r>
        <w:rPr>
          <w:b/>
          <w:color w:val="1F4E79"/>
          <w:sz w:val="18"/>
        </w:rPr>
        <w:t xml:space="preserve">Method rationale: </w:t>
      </w:r>
      <w:r>
        <w:rPr>
          <w:sz w:val="18"/>
        </w:rPr>
        <w:t>Cox regression estimates covariate-adjusted hazard ratios while retaining censoring information.</w:t>
      </w:r>
    </w:p>
    <w:p>
      <w:pPr>
        <w:spacing w:after="40"/>
      </w:pPr>
      <w:r>
        <w:rPr>
          <w:b/>
          <w:color w:val="1F4E79"/>
          <w:sz w:val="18"/>
        </w:rPr>
        <w:t xml:space="preserve">Scientific result: </w:t>
      </w:r>
      <w:r>
        <w:rPr>
          <w:sz w:val="18"/>
        </w:rPr>
        <w:t>C-index 0.73; EF HR 0.79; creatinine HR 1.36.</w:t>
      </w:r>
    </w:p>
    <w:p>
      <w:pPr>
        <w:spacing w:after="40"/>
      </w:pPr>
      <w:r>
        <w:rPr>
          <w:b/>
          <w:color w:val="1F4E79"/>
          <w:sz w:val="18"/>
        </w:rPr>
        <w:t xml:space="preserve">Interpretation: </w:t>
      </w:r>
      <w:r>
        <w:rPr>
          <w:sz w:val="18"/>
        </w:rPr>
        <w:t>Higher EF is associated with lower hazard; higher creatinine with higher hazard.</w:t>
      </w:r>
    </w:p>
    <w:p>
      <w:pPr>
        <w:spacing w:after="40"/>
      </w:pPr>
      <w:r>
        <w:rPr>
          <w:b/>
          <w:color w:val="1F4E79"/>
          <w:sz w:val="18"/>
        </w:rPr>
        <w:t xml:space="preserve">Caption: </w:t>
      </w:r>
      <w:r>
        <w:rPr>
          <w:sz w:val="18"/>
        </w:rPr>
        <w:t>Prespecified multivariable Cox model. Continuous effects use clinically interpretable increments; horizontal lines are 95% confidence intervals.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2664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664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  <w:color w:val="1F4E79"/>
          <w:sz w:val="18"/>
        </w:rPr>
        <w:t>How to read</w:t>
      </w:r>
    </w:p>
    <w:p>
      <w:pPr>
        <w:pStyle w:val="ListBullet"/>
        <w:spacing w:after="20"/>
      </w:pPr>
      <w:r>
        <w:rPr>
          <w:sz w:val="18"/>
        </w:rPr>
        <w:t>Rows — each row is one covariate in the same adjusted Cox model.</w:t>
      </w:r>
    </w:p>
    <w:p>
      <w:pPr>
        <w:pStyle w:val="ListBullet"/>
        <w:spacing w:after="20"/>
      </w:pPr>
      <w:r>
        <w:rPr>
          <w:sz w:val="18"/>
        </w:rPr>
        <w:t>Squares — the square marks the adjusted hazard ratio (HR); the horizontal whisker is its 95% confidence interval.</w:t>
      </w:r>
    </w:p>
    <w:p>
      <w:pPr>
        <w:pStyle w:val="ListBullet"/>
        <w:spacing w:after="20"/>
      </w:pPr>
      <w:r>
        <w:rPr>
          <w:sz w:val="18"/>
        </w:rPr>
        <w:t>Dashed line — HR=1 is the no-association reference. Intervals crossing 1 are compatible with no association at the 0.05 level.</w:t>
      </w:r>
    </w:p>
    <w:p>
      <w:pPr>
        <w:pStyle w:val="ListBullet"/>
        <w:spacing w:after="20"/>
      </w:pPr>
      <w:r>
        <w:rPr>
          <w:sz w:val="18"/>
        </w:rPr>
        <w:t>Direction — estimates left of 1 indicate lower hazard and estimates right of 1 higher hazard, conditional on the adjustment set.</w:t>
      </w:r>
    </w:p>
    <w:p>
      <w:pPr>
        <w:pStyle w:val="ListBullet"/>
        <w:spacing w:after="20"/>
      </w:pPr>
      <w:r>
        <w:rPr>
          <w:sz w:val="18"/>
        </w:rPr>
        <w:t>Scale — the horizontal axis is logarithmic, so equal distances represent equal multiplicative changes rather than equal absolute changes.</w:t>
      </w:r>
    </w:p>
    <w:p>
      <w:pPr>
        <w:pStyle w:val="ListBullet"/>
        <w:spacing w:after="20"/>
      </w:pPr>
      <w:r>
        <w:rPr>
          <w:sz w:val="18"/>
        </w:rPr>
        <w:t>Colors — orange denotes p&lt;0.05 in this figure and gray denotes p≥0.05; color does not establish causality or clinical importance.</w:t>
      </w:r>
    </w:p>
    <w:p>
      <w:pPr>
        <w:pStyle w:val="ListBullet"/>
        <w:spacing w:after="20"/>
      </w:pPr>
      <w:r>
        <w:rPr>
          <w:sz w:val="18"/>
        </w:rPr>
        <w:t>Units — EF is reported per +5 percentage points and creatinine per +1 mg/dL; other rows use the unit printed in the label.</w:t>
      </w:r>
    </w:p>
    <w:p>
      <w:pPr>
        <w:pStyle w:val="ListBullet"/>
        <w:spacing w:after="20"/>
      </w:pPr>
      <w:r>
        <w:rPr>
          <w:sz w:val="18"/>
        </w:rPr>
        <w:t>Diagnostics — read the C-index as model discrimination and inspect the PH flag before assuming an HR is constant over follow-up.</w:t>
      </w:r>
    </w:p>
    <w:p>
      <w:pPr>
        <w:spacing w:after="40"/>
      </w:pPr>
      <w:r>
        <w:rPr>
          <w:b/>
          <w:color w:val="1F4E79"/>
          <w:sz w:val="18"/>
        </w:rPr>
        <w:t xml:space="preserve">Common misreading: </w:t>
      </w:r>
      <w:r>
        <w:rPr>
          <w:sz w:val="18"/>
        </w:rPr>
        <w:t>A hazard ratio is not an absolute risk ratio.</w:t>
      </w:r>
    </w:p>
    <w:p>
      <w:pPr>
        <w:spacing w:after="40"/>
      </w:pPr>
      <w:r>
        <w:rPr>
          <w:b/>
          <w:color w:val="1F4E79"/>
          <w:sz w:val="18"/>
        </w:rPr>
        <w:t xml:space="preserve">Cannot conclude: </w:t>
      </w:r>
      <w:r>
        <w:rPr>
          <w:sz w:val="18"/>
        </w:rPr>
        <w:t>Causality, treatment benefit, or external validity.</w:t>
      </w:r>
    </w:p>
    <w:p>
      <w:pPr>
        <w:spacing w:after="40"/>
      </w:pPr>
      <w:r>
        <w:rPr>
          <w:b/>
          <w:color w:val="1F4E79"/>
          <w:sz w:val="18"/>
        </w:rPr>
        <w:t xml:space="preserve">Review status: </w:t>
      </w:r>
      <w:r>
        <w:rPr>
          <w:sz w:val="18"/>
        </w:rPr>
        <w:t>needs-author-decision</w:t>
      </w:r>
    </w:p>
    <w:p>
      <w:pPr>
        <w:spacing w:after="40"/>
      </w:pPr>
      <w:r>
        <w:rPr>
          <w:b/>
          <w:color w:val="1F4E79"/>
          <w:sz w:val="18"/>
        </w:rPr>
        <w:t xml:space="preserve">Citation location: </w:t>
      </w:r>
      <w:r>
        <w:rPr>
          <w:sz w:val="18"/>
        </w:rPr>
        <w:t>Results — adjusted associations</w:t>
      </w:r>
    </w:p>
    <w:p>
      <w:pPr>
        <w:spacing w:after="40"/>
      </w:pPr>
      <w:r>
        <w:rPr>
          <w:b/>
          <w:color w:val="1F4E79"/>
          <w:sz w:val="18"/>
        </w:rPr>
        <w:t xml:space="preserve">Reproducibility: </w:t>
      </w:r>
      <w:r>
        <w:rPr>
          <w:sz w:val="18"/>
        </w:rPr>
        <w:t>v2_demo/04_code/run_demo.py</w:t>
      </w:r>
    </w:p>
    <w:p>
      <w:pPr>
        <w:pageBreakBefore/>
        <w:spacing w:before="0" w:after="0"/>
      </w:pPr>
      <w:r>
        <w:rPr>
          <w:color w:val="FFFFFF"/>
          <w:sz w:val="2"/>
        </w:rPr>
        <w:t>.</w:t>
      </w:r>
    </w:p>
    <w:p>
      <w:pPr>
        <w:spacing w:before="280" w:after="80"/>
        <w:ind w:left="80"/>
      </w:pPr>
      <w:r>
        <w:rPr>
          <w:b/>
          <w:color w:val="1F4E79"/>
          <w:sz w:val="26"/>
        </w:rPr>
        <w:t>Figure 3 — Exploratory internal prediction</w:t>
      </w:r>
    </w:p>
    <w:p>
      <w:pPr>
        <w:spacing w:after="40"/>
      </w:pPr>
      <w:r>
        <w:rPr>
          <w:b/>
          <w:color w:val="1F4E79"/>
          <w:sz w:val="18"/>
        </w:rPr>
        <w:t xml:space="preserve">Claim: </w:t>
      </w:r>
      <w:r>
        <w:rPr>
          <w:sz w:val="18"/>
        </w:rPr>
        <w:t>The two-feature model retains similar internal discrimination to the full baseline model.</w:t>
      </w:r>
    </w:p>
    <w:p>
      <w:pPr>
        <w:spacing w:after="40"/>
      </w:pPr>
      <w:r>
        <w:rPr>
          <w:b/>
          <w:color w:val="1F4E79"/>
          <w:sz w:val="18"/>
        </w:rPr>
        <w:t xml:space="preserve">Method rationale: </w:t>
      </w:r>
      <w:r>
        <w:rPr>
          <w:sz w:val="18"/>
        </w:rPr>
        <w:t>Out-of-fold probabilities avoid evaluating each patient with a model trained on that patient; follow-up time is excluded.</w:t>
      </w:r>
    </w:p>
    <w:p>
      <w:pPr>
        <w:spacing w:after="40"/>
      </w:pPr>
      <w:r>
        <w:rPr>
          <w:b/>
          <w:color w:val="1F4E79"/>
          <w:sz w:val="18"/>
        </w:rPr>
        <w:t xml:space="preserve">Scientific result: </w:t>
      </w:r>
      <w:r>
        <w:rPr>
          <w:sz w:val="18"/>
        </w:rPr>
        <w:t>Repeated-CV AUC: full 0.766 (0.061); two-feature 0.757 (0.063).</w:t>
      </w:r>
    </w:p>
    <w:p>
      <w:pPr>
        <w:spacing w:after="40"/>
      </w:pPr>
      <w:r>
        <w:rPr>
          <w:b/>
          <w:color w:val="1F4E79"/>
          <w:sz w:val="18"/>
        </w:rPr>
        <w:t xml:space="preserve">Interpretation: </w:t>
      </w:r>
      <w:r>
        <w:rPr>
          <w:sz w:val="18"/>
        </w:rPr>
        <w:t>The compact model may be useful for hypothesis generation, not deployment.</w:t>
      </w:r>
    </w:p>
    <w:p>
      <w:pPr>
        <w:spacing w:after="40"/>
      </w:pPr>
      <w:r>
        <w:rPr>
          <w:b/>
          <w:color w:val="1F4E79"/>
          <w:sz w:val="18"/>
        </w:rPr>
        <w:t xml:space="preserve">Caption: </w:t>
      </w:r>
      <w:r>
        <w:rPr>
          <w:sz w:val="18"/>
        </w:rPr>
        <w:t>Five-fold out-of-fold ROC and quantile-binned calibration for baseline logistic models. This secondary endpoint ignores unequal follow-up and is exploratory.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97680" cy="2235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3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  <w:color w:val="1F4E79"/>
          <w:sz w:val="18"/>
        </w:rPr>
        <w:t>How to read</w:t>
      </w:r>
    </w:p>
    <w:p>
      <w:pPr>
        <w:pStyle w:val="ListBullet"/>
        <w:spacing w:after="20"/>
      </w:pPr>
      <w:r>
        <w:rPr>
          <w:sz w:val="18"/>
        </w:rPr>
        <w:t>Colors — blue is the full 11-feature model and orange is the two-feature creatinine + EF model in both panels.</w:t>
      </w:r>
    </w:p>
    <w:p>
      <w:pPr>
        <w:pStyle w:val="ListBullet"/>
        <w:spacing w:after="20"/>
      </w:pPr>
      <w:r>
        <w:rPr>
          <w:sz w:val="18"/>
        </w:rPr>
        <w:t>ROC panel — false-positive rate is on the horizontal axis and true-positive rate on the vertical axis; each curve position corresponds to a different threshold.</w:t>
      </w:r>
    </w:p>
    <w:p>
      <w:pPr>
        <w:pStyle w:val="ListBullet"/>
        <w:spacing w:after="20"/>
      </w:pPr>
      <w:r>
        <w:rPr>
          <w:sz w:val="18"/>
        </w:rPr>
        <w:t>ROC reference — the gray dashed diagonal is chance-level ranking; curves nearer the upper-left discriminate outcomes better.</w:t>
      </w:r>
    </w:p>
    <w:p>
      <w:pPr>
        <w:pStyle w:val="ListBullet"/>
        <w:spacing w:after="20"/>
      </w:pPr>
      <w:r>
        <w:rPr>
          <w:sz w:val="18"/>
        </w:rPr>
        <w:t>AUC — read the value in the legend as an overall ranking summary, not as accuracy at a selected threshold.</w:t>
      </w:r>
    </w:p>
    <w:p>
      <w:pPr>
        <w:pStyle w:val="ListBullet"/>
        <w:spacing w:after="20"/>
      </w:pPr>
      <w:r>
        <w:rPr>
          <w:sz w:val="18"/>
        </w:rPr>
        <w:t>Calibration points — each point is a quantile group of patients, not one patient; connecting lines are visual guides only.</w:t>
      </w:r>
    </w:p>
    <w:p>
      <w:pPr>
        <w:pStyle w:val="ListBullet"/>
        <w:spacing w:after="20"/>
      </w:pPr>
      <w:r>
        <w:rPr>
          <w:sz w:val="18"/>
        </w:rPr>
        <w:t>Calibration reference — the gray dashed identity line is perfect agreement. Points above it indicate underprediction and points below it overprediction for that group.</w:t>
      </w:r>
    </w:p>
    <w:p>
      <w:pPr>
        <w:pStyle w:val="ListBullet"/>
        <w:spacing w:after="20"/>
      </w:pPr>
      <w:r>
        <w:rPr>
          <w:sz w:val="18"/>
        </w:rPr>
        <w:t>Brier score — read the value in the legend as overall probability error; lower is better.</w:t>
      </w:r>
    </w:p>
    <w:p>
      <w:pPr>
        <w:pStyle w:val="ListBullet"/>
        <w:spacing w:after="20"/>
      </w:pPr>
      <w:r>
        <w:rPr>
          <w:sz w:val="18"/>
        </w:rPr>
        <w:t>Reading order — assess ROC discrimination and calibration separately, then compare both models without declaring equivalence from similar curves.</w:t>
      </w:r>
    </w:p>
    <w:p>
      <w:pPr>
        <w:spacing w:after="40"/>
      </w:pPr>
      <w:r>
        <w:rPr>
          <w:b/>
          <w:color w:val="1F4E79"/>
          <w:sz w:val="18"/>
        </w:rPr>
        <w:t xml:space="preserve">Common misreading: </w:t>
      </w:r>
      <w:r>
        <w:rPr>
          <w:sz w:val="18"/>
        </w:rPr>
        <w:t>Similar AUC is not proof of model equivalence.</w:t>
      </w:r>
    </w:p>
    <w:p>
      <w:pPr>
        <w:spacing w:after="40"/>
      </w:pPr>
      <w:r>
        <w:rPr>
          <w:b/>
          <w:color w:val="1F4E79"/>
          <w:sz w:val="18"/>
        </w:rPr>
        <w:t xml:space="preserve">Cannot conclude: </w:t>
      </w:r>
      <w:r>
        <w:rPr>
          <w:sz w:val="18"/>
        </w:rPr>
        <w:t>Transportability, net clinical benefit, or a safe decision threshold.</w:t>
      </w:r>
    </w:p>
    <w:p>
      <w:pPr>
        <w:spacing w:after="40"/>
      </w:pPr>
      <w:r>
        <w:rPr>
          <w:b/>
          <w:color w:val="1F4E79"/>
          <w:sz w:val="18"/>
        </w:rPr>
        <w:t xml:space="preserve">Review status: </w:t>
      </w:r>
      <w:r>
        <w:rPr>
          <w:sz w:val="18"/>
        </w:rPr>
        <w:t>final</w:t>
      </w:r>
    </w:p>
    <w:p>
      <w:pPr>
        <w:spacing w:after="40"/>
      </w:pPr>
      <w:r>
        <w:rPr>
          <w:b/>
          <w:color w:val="1F4E79"/>
          <w:sz w:val="18"/>
        </w:rPr>
        <w:t xml:space="preserve">Citation location: </w:t>
      </w:r>
      <w:r>
        <w:rPr>
          <w:sz w:val="18"/>
        </w:rPr>
        <w:t>Results — exploratory prediction</w:t>
      </w:r>
    </w:p>
    <w:p>
      <w:pPr>
        <w:spacing w:after="40"/>
      </w:pPr>
      <w:r>
        <w:rPr>
          <w:b/>
          <w:color w:val="1F4E79"/>
          <w:sz w:val="18"/>
        </w:rPr>
        <w:t xml:space="preserve">Reproducibility: </w:t>
      </w:r>
      <w:r>
        <w:rPr>
          <w:sz w:val="18"/>
        </w:rPr>
        <w:t>v2_demo/04_code/run_demo.py</w:t>
      </w:r>
    </w:p>
    <w:p>
      <w:pPr>
        <w:pageBreakBefore/>
        <w:spacing w:before="0" w:after="0"/>
      </w:pPr>
      <w:r>
        <w:rPr>
          <w:color w:val="FFFFFF"/>
          <w:sz w:val="2"/>
        </w:rPr>
        <w:t>.</w:t>
      </w:r>
    </w:p>
    <w:p>
      <w:pPr>
        <w:spacing w:after="80" w:before="280"/>
      </w:pPr>
      <w:r>
        <w:rPr>
          <w:b/>
          <w:color w:val="1F4E79"/>
          <w:sz w:val="26"/>
        </w:rPr>
        <w:t>Table 1 — Cohort characteristics</w:t>
      </w:r>
    </w:p>
    <w:p>
      <w:pPr>
        <w:ind w:left="80"/>
      </w:pPr>
      <w:r>
        <w:rPr>
          <w:rFonts w:ascii="Times New Roman" w:hAnsi="Times New Roman"/>
          <w:b/>
          <w:sz w:val="16"/>
        </w:rPr>
        <w:t>Table 1. Baseline characteristics by observed outcome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Characteristic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Overall (n=299)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Censored (n=203)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Died (n=96)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SMD (Died − Censored)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Age,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 [51.0, 70.0]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60.0 [50.0, 65.0]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65.0 [55.0, 75.0]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Ejection fraction,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38.0 [30.0, 45.0]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38.0 [35.0, 45.0]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30.0 [25.0, 38.0]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-0.58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creatinine, mg/dL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 [0.9, 1.4]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 [0.9, 1.2]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 [1.1, 1.9]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0.57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sodium, mEq/L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137.0 [134.0, 140.0]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137.0 [135.5, 140.0]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135.5 [133.0, 138.2]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-0.41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Platelets, ×10³/µL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262.0 [212.5, 303.5]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263.0 [219.5, 302.0]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258.5 [197.5, 311.0]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Creatine phosphokinase, mcg/L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250.0 [116.5,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245.0 [109.0,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259.0 [128.8, 582.0]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Male sex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194 (64.9%)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132 (65.0%)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62 (64.6%)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Anaemia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129 (43.1%)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83 (40.9%)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46 (47.9%)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0.14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Diabetes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125 (41.8%)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85 (41.9%)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40 (41.7%)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High blood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105 (35.1%)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66 (32.5%)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 (40.6%)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0.17</w:t>
            </w:r>
          </w:p>
        </w:tc>
      </w:tr>
      <w:tr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Current smoking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96 (32.1%)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66 (32.5%)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30 (31.2%)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-0.03</w:t>
            </w:r>
          </w:p>
        </w:tc>
      </w:tr>
    </w:tbl>
    <w:p>
      <w:r>
        <w:rPr>
          <w:rFonts w:ascii="Times New Roman" w:hAnsi="Times New Roman"/>
          <w:i/>
          <w:sz w:val="14"/>
        </w:rPr>
        <w:t>Continuous: median [Q1, Q3]; binary: n (%). SMD direction is Died minus Censored.</w:t>
      </w:r>
    </w:p>
    <w:p>
      <w:pPr>
        <w:spacing w:after="40"/>
      </w:pPr>
      <w:r>
        <w:rPr>
          <w:b/>
          <w:color w:val="1F4E79"/>
          <w:sz w:val="18"/>
        </w:rPr>
        <w:t xml:space="preserve">Claim: </w:t>
      </w:r>
      <w:r>
        <w:rPr>
          <w:sz w:val="18"/>
        </w:rPr>
        <w:t>The table describes, rather than balances, outcome groups.</w:t>
      </w:r>
    </w:p>
    <w:p>
      <w:pPr>
        <w:spacing w:after="40"/>
      </w:pPr>
      <w:r>
        <w:rPr>
          <w:b/>
          <w:color w:val="1F4E79"/>
          <w:sz w:val="18"/>
        </w:rPr>
        <w:t xml:space="preserve">Method rationale: </w:t>
      </w:r>
      <w:r>
        <w:rPr>
          <w:sz w:val="18"/>
        </w:rPr>
        <w:t>Distribution summaries and standardized differences describe observed groups without p-value-driven screening.</w:t>
      </w:r>
    </w:p>
    <w:p>
      <w:pPr>
        <w:spacing w:after="40"/>
      </w:pPr>
      <w:r>
        <w:rPr>
          <w:b/>
          <w:color w:val="1F4E79"/>
          <w:sz w:val="18"/>
        </w:rPr>
        <w:t xml:space="preserve">Caption: </w:t>
      </w:r>
      <w:r>
        <w:rPr>
          <w:sz w:val="18"/>
        </w:rPr>
        <w:t>Baseline characteristics of the public heart-failure cohort.</w:t>
      </w:r>
    </w:p>
    <w:p>
      <w:pPr>
        <w:keepNext/>
        <w:spacing w:after="40"/>
      </w:pPr>
      <w:r>
        <w:rPr>
          <w:b/>
          <w:color w:val="1F4E79"/>
          <w:sz w:val="18"/>
        </w:rPr>
        <w:t>How to read</w:t>
      </w:r>
    </w:p>
    <w:p>
      <w:pPr>
        <w:pStyle w:val="ListBullet"/>
        <w:spacing w:after="20"/>
      </w:pPr>
      <w:r>
        <w:rPr>
          <w:sz w:val="18"/>
        </w:rPr>
        <w:t>Compare medians and IQRs for continuous rows.</w:t>
      </w:r>
    </w:p>
    <w:p>
      <w:pPr>
        <w:pStyle w:val="ListBullet"/>
        <w:spacing w:after="20"/>
      </w:pPr>
      <w:r>
        <w:rPr>
          <w:sz w:val="18"/>
        </w:rPr>
        <w:t>For binary rows, read numerator and percentage together.</w:t>
      </w:r>
    </w:p>
    <w:p>
      <w:pPr>
        <w:pStyle w:val="ListBullet"/>
        <w:spacing w:after="20"/>
      </w:pPr>
      <w:r>
        <w:rPr>
          <w:sz w:val="18"/>
        </w:rPr>
        <w:t>Use SMD magnitude and direction as a descriptive imbalance measure, not as a causal effect.</w:t>
      </w:r>
    </w:p>
    <w:p>
      <w:pPr>
        <w:spacing w:after="40"/>
      </w:pPr>
      <w:r>
        <w:rPr>
          <w:b/>
          <w:color w:val="1F4E79"/>
          <w:sz w:val="18"/>
        </w:rPr>
        <w:t xml:space="preserve">Common misreading: </w:t>
      </w:r>
      <w:r>
        <w:rPr>
          <w:sz w:val="18"/>
        </w:rPr>
        <w:t>Outcome-group imbalance is not an independent prognostic effect.</w:t>
      </w:r>
    </w:p>
    <w:p>
      <w:pPr>
        <w:spacing w:after="40"/>
      </w:pPr>
      <w:r>
        <w:rPr>
          <w:b/>
          <w:color w:val="1F4E79"/>
          <w:sz w:val="18"/>
        </w:rPr>
        <w:t xml:space="preserve">Cannot conclude: </w:t>
      </w:r>
      <w:r>
        <w:rPr>
          <w:sz w:val="18"/>
        </w:rPr>
        <w:t>Independent effects or causal risk factors.</w:t>
      </w:r>
    </w:p>
    <w:p>
      <w:pPr>
        <w:spacing w:after="40"/>
      </w:pPr>
      <w:r>
        <w:rPr>
          <w:b/>
          <w:color w:val="1F4E79"/>
          <w:sz w:val="18"/>
        </w:rPr>
        <w:t xml:space="preserve">Review status: </w:t>
      </w:r>
      <w:r>
        <w:rPr>
          <w:sz w:val="18"/>
        </w:rPr>
        <w:t>final</w:t>
      </w:r>
    </w:p>
    <w:p>
      <w:pPr>
        <w:spacing w:after="40"/>
      </w:pPr>
      <w:r>
        <w:rPr>
          <w:b/>
          <w:color w:val="1F4E79"/>
          <w:sz w:val="18"/>
        </w:rPr>
        <w:t xml:space="preserve">Citation location: </w:t>
      </w:r>
      <w:r>
        <w:rPr>
          <w:sz w:val="18"/>
        </w:rPr>
        <w:t>Methods and Results — cohort</w:t>
      </w:r>
    </w:p>
    <w:p>
      <w:pPr>
        <w:spacing w:after="40"/>
      </w:pPr>
      <w:r>
        <w:rPr>
          <w:b/>
          <w:color w:val="1F4E79"/>
          <w:sz w:val="18"/>
        </w:rPr>
        <w:t xml:space="preserve">Reproducibility: </w:t>
      </w:r>
      <w:r>
        <w:rPr>
          <w:sz w:val="18"/>
        </w:rPr>
        <w:t>v2_demo/04_code/run_demo.py</w:t>
      </w:r>
    </w:p>
    <w:p>
      <w:pPr>
        <w:pageBreakBefore/>
        <w:spacing w:before="0" w:after="0"/>
      </w:pPr>
      <w:r>
        <w:rPr>
          <w:color w:val="FFFFFF"/>
          <w:sz w:val="2"/>
        </w:rPr>
        <w:t>.</w:t>
      </w:r>
    </w:p>
    <w:p>
      <w:pPr>
        <w:spacing w:after="80" w:before="280"/>
      </w:pPr>
      <w:r>
        <w:rPr>
          <w:b/>
          <w:color w:val="1F4E79"/>
          <w:sz w:val="26"/>
        </w:rPr>
        <w:t>Table 2 — Prespecified Cox model</w:t>
      </w:r>
    </w:p>
    <w:p>
      <w:pPr>
        <w:ind w:left="80"/>
      </w:pPr>
      <w:r>
        <w:rPr>
          <w:rFonts w:ascii="Times New Roman" w:hAnsi="Times New Roman"/>
          <w:b/>
          <w:sz w:val="16"/>
        </w:rPr>
        <w:t>Table 2. Multivariable Cox proportional-hazards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Covariate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Hazard ratio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95% CI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p-value</w:t>
            </w:r>
          </w:p>
        </w:tc>
        <w:tc>
          <w:tcPr>
            <w:tcW w:type="dxa" w:w="1728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PH-test p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Age, per 10 years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1.30–1.85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Ejection fraction, per 5%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0.72–0.87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creatinine, per 1 mg/dL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1.18–1.55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&lt;0.001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0.077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Serum sodium, per 5 mEq/L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0.64–1.02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0.142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Anaemia, yes vs 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0.97–2.21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0.921</w:t>
            </w:r>
          </w:p>
        </w:tc>
      </w:tr>
      <w:tr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6"/>
              </w:rPr>
              <w:t>High blood pressure, yes vs no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1.61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1.06–2.44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728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0.826</w:t>
            </w:r>
          </w:p>
        </w:tc>
      </w:tr>
    </w:tbl>
    <w:p>
      <w:r>
        <w:rPr>
          <w:rFonts w:ascii="Times New Roman" w:hAnsi="Times New Roman"/>
          <w:i/>
          <w:sz w:val="14"/>
        </w:rPr>
        <w:t>Covariate-level PH-test p uses rank-transformed time. A global diagnostic and graphical residual review remain pending; inspect any p&lt;0.05 flag.</w:t>
      </w:r>
    </w:p>
    <w:p>
      <w:pPr>
        <w:spacing w:after="40"/>
      </w:pPr>
      <w:r>
        <w:rPr>
          <w:b/>
          <w:color w:val="1F4E79"/>
          <w:sz w:val="18"/>
        </w:rPr>
        <w:t xml:space="preserve">Claim: </w:t>
      </w:r>
      <w:r>
        <w:rPr>
          <w:sz w:val="18"/>
        </w:rPr>
        <w:t>The table reports effect size, uncertainty, and diagnostics together.</w:t>
      </w:r>
    </w:p>
    <w:p>
      <w:pPr>
        <w:spacing w:after="40"/>
      </w:pPr>
      <w:r>
        <w:rPr>
          <w:b/>
          <w:color w:val="1F4E79"/>
          <w:sz w:val="18"/>
        </w:rPr>
        <w:t xml:space="preserve">Method rationale: </w:t>
      </w:r>
      <w:r>
        <w:rPr>
          <w:sz w:val="18"/>
        </w:rPr>
        <w:t>Prespecified adjustment prevents p-value-driven variable selection.</w:t>
      </w:r>
    </w:p>
    <w:p>
      <w:pPr>
        <w:spacing w:after="40"/>
      </w:pPr>
      <w:r>
        <w:rPr>
          <w:b/>
          <w:color w:val="1F4E79"/>
          <w:sz w:val="18"/>
        </w:rPr>
        <w:t xml:space="preserve">Caption: </w:t>
      </w:r>
      <w:r>
        <w:rPr>
          <w:sz w:val="18"/>
        </w:rPr>
        <w:t>Adjusted hazard ratios and proportional-hazards diagnostics.</w:t>
      </w:r>
    </w:p>
    <w:p>
      <w:pPr>
        <w:keepNext/>
        <w:spacing w:after="40"/>
      </w:pPr>
      <w:r>
        <w:rPr>
          <w:b/>
          <w:color w:val="1F4E79"/>
          <w:sz w:val="18"/>
        </w:rPr>
        <w:t>How to read</w:t>
      </w:r>
    </w:p>
    <w:p>
      <w:pPr>
        <w:pStyle w:val="ListBullet"/>
        <w:spacing w:after="20"/>
      </w:pPr>
      <w:r>
        <w:rPr>
          <w:sz w:val="18"/>
        </w:rPr>
        <w:t>Read HR with its 95% CI, not p-value alone.</w:t>
      </w:r>
    </w:p>
    <w:p>
      <w:pPr>
        <w:pStyle w:val="ListBullet"/>
        <w:spacing w:after="20"/>
      </w:pPr>
      <w:r>
        <w:rPr>
          <w:sz w:val="18"/>
        </w:rPr>
        <w:t>Check the PH-test column before treating the HR as constant over follow-up.</w:t>
      </w:r>
    </w:p>
    <w:p>
      <w:pPr>
        <w:spacing w:after="40"/>
      </w:pPr>
      <w:r>
        <w:rPr>
          <w:b/>
          <w:color w:val="1F4E79"/>
          <w:sz w:val="18"/>
        </w:rPr>
        <w:t xml:space="preserve">Common misreading: </w:t>
      </w:r>
      <w:r>
        <w:rPr>
          <w:sz w:val="18"/>
        </w:rPr>
        <w:t>Statistical adjustment does not remove unmeasured confounding.</w:t>
      </w:r>
    </w:p>
    <w:p>
      <w:pPr>
        <w:spacing w:after="40"/>
      </w:pPr>
      <w:r>
        <w:rPr>
          <w:b/>
          <w:color w:val="1F4E79"/>
          <w:sz w:val="18"/>
        </w:rPr>
        <w:t xml:space="preserve">Cannot conclude: </w:t>
      </w:r>
      <w:r>
        <w:rPr>
          <w:sz w:val="18"/>
        </w:rPr>
        <w:t>A mechanistic or causal relationship.</w:t>
      </w:r>
    </w:p>
    <w:p>
      <w:pPr>
        <w:spacing w:after="40"/>
      </w:pPr>
      <w:r>
        <w:rPr>
          <w:b/>
          <w:color w:val="1F4E79"/>
          <w:sz w:val="18"/>
        </w:rPr>
        <w:t xml:space="preserve">Review status: </w:t>
      </w:r>
      <w:r>
        <w:rPr>
          <w:sz w:val="18"/>
        </w:rPr>
        <w:t>needs-author-decision</w:t>
      </w:r>
    </w:p>
    <w:p>
      <w:pPr>
        <w:spacing w:after="40"/>
      </w:pPr>
      <w:r>
        <w:rPr>
          <w:b/>
          <w:color w:val="1F4E79"/>
          <w:sz w:val="18"/>
        </w:rPr>
        <w:t xml:space="preserve">Citation location: </w:t>
      </w:r>
      <w:r>
        <w:rPr>
          <w:sz w:val="18"/>
        </w:rPr>
        <w:t>Results — adjusted associations</w:t>
      </w:r>
    </w:p>
    <w:p>
      <w:pPr>
        <w:spacing w:after="40"/>
      </w:pPr>
      <w:r>
        <w:rPr>
          <w:b/>
          <w:color w:val="1F4E79"/>
          <w:sz w:val="18"/>
        </w:rPr>
        <w:t xml:space="preserve">Reproducibility: </w:t>
      </w:r>
      <w:r>
        <w:rPr>
          <w:sz w:val="18"/>
        </w:rPr>
        <w:t>v2_demo/04_code/run_demo.py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