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80"/>
      </w:pPr>
      <w:r>
        <w:rPr>
          <w:rFonts w:ascii="Times New Roman" w:hAnsi="Times New Roman"/>
          <w:b/>
          <w:sz w:val="16"/>
        </w:rPr>
        <w:t>Table 1. Baseline characteristics by observed outcome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Characteristic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Overall (n=299)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Censored (n=203)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Died (n=96)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SMD (Died − Censored)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Age,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 [51.0, 70.0]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 [50.0, 65.0]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65.0 [55.0, 75.0]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+0.54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Ejection fraction,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38.0 [30.0, 45.0]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38.0 [35.0, 45.0]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30.0 [25.0, 38.0]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-0.58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creatinine, mg/dL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 [0.9, 1.4]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 [0.9, 1.2]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 [1.1, 1.9]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+0.57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sodium, mEq/L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137.0 [134.0, 140.0]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137.0 [135.5, 140.0]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135.5 [133.0, 138.2]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-0.41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Platelets, ×10³/µL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262.0 [212.5, 303.5]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263.0 [219.5, 302.0]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258.5 [197.5, 311.0]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-0.10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Creatine phosphokinase, mcg/L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250.0 [116.5,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245.0 [109.0,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259.0 [128.8,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+0.12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Male sex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194 (64.9%)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132 (65.0%)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62 (64.6%)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Anaemia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129 (43.1%)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83 (40.9%)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46 (47.9%)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+0.14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Diabetes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125 (41.8%)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85 (41.9%)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 (41.7%)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High blood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105 (35.1%)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66 (32.5%)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 (40.6%)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+0.17</w:t>
            </w:r>
          </w:p>
        </w:tc>
      </w:tr>
      <w:tr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Current smoking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96 (32.1%)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66 (32.5%)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 (31.2%)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-0.03</w:t>
            </w:r>
          </w:p>
        </w:tc>
      </w:tr>
    </w:tbl>
    <w:p>
      <w:r>
        <w:rPr>
          <w:rFonts w:ascii="Times New Roman" w:hAnsi="Times New Roman"/>
          <w:i/>
          <w:sz w:val="14"/>
        </w:rPr>
        <w:t>Continuous: median [Q1, Q3]; binary: n (%). SMD direction is Died minus Censored.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