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80"/>
      </w:pPr>
      <w:r>
        <w:rPr>
          <w:rFonts w:ascii="Times New Roman" w:hAnsi="Times New Roman"/>
          <w:b/>
          <w:sz w:val="18"/>
        </w:rPr>
        <w:t>Table 2. Prespecified multivariable Cox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Covariate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PH-test 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Age, per 10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1.30–1.85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Ejection fraction, per 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0.72–0.87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Serum creatinine, per 1 mg/dL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1.18–1.55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0.077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Serum sodium, per 5 mEq/L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0.64–1.02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0.142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Anaemia, yes vs 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0.97–2.21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0.921</w:t>
            </w:r>
          </w:p>
        </w:tc>
      </w:tr>
      <w:tr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High blood pressure, yes vs no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1.06–2.44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0.026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0.826</w:t>
            </w:r>
          </w:p>
        </w:tc>
      </w:tr>
    </w:tbl>
    <w:p>
      <w:r>
        <w:rPr>
          <w:rFonts w:ascii="Times New Roman" w:hAnsi="Times New Roman"/>
          <w:i/>
          <w:sz w:val="16"/>
        </w:rPr>
        <w:t>Covariate-level PH-test p is based on scaled Schoenfeld residuals with rank-transformed time; global and graphical PH review remain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