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36"/>
        </w:rPr>
        <w:t>Figure &amp; Table Report</w:t>
      </w:r>
    </w:p>
    <w:p>
      <w:pPr>
        <w:spacing w:before="0" w:after="160"/>
      </w:pPr>
      <w:r>
        <w:rPr>
          <w:b w:val="0"/>
          <w:sz w:val="24"/>
        </w:rPr>
        <w:t>Heart-failure survival — paper-figures worked example</w:t>
      </w:r>
    </w:p>
    <w:p>
      <w:pPr>
        <w:spacing w:after="40"/>
      </w:pPr>
      <w:r>
        <w:rPr>
          <w:b/>
          <w:color w:val="1F4E79"/>
          <w:sz w:val="20"/>
        </w:rPr>
        <w:t xml:space="preserve">Source paper: </w:t>
      </w:r>
      <w:r>
        <w:rPr>
          <w:sz w:val="20"/>
        </w:rPr>
        <w:t>Chicco &amp; Jurman (2020), BMC Med Inform Decis Mak 20:16 (CC BY 4.0)</w:t>
      </w:r>
    </w:p>
    <w:p>
      <w:pPr>
        <w:spacing w:after="40"/>
      </w:pPr>
      <w:r>
        <w:rPr>
          <w:b/>
          <w:color w:val="1F4E79"/>
          <w:sz w:val="20"/>
        </w:rPr>
        <w:t xml:space="preserve">Data: </w:t>
      </w:r>
      <w:r>
        <w:rPr>
          <w:sz w:val="20"/>
        </w:rPr>
        <w:t>UCI dataset 519 (CC BY 4.0); 299 patients, 96 deaths (32%), median follow-up 115 d</w:t>
      </w:r>
    </w:p>
    <w:p>
      <w:pPr>
        <w:spacing w:after="40"/>
      </w:pPr>
      <w:r>
        <w:rPr>
          <w:b/>
          <w:color w:val="1F4E79"/>
          <w:sz w:val="20"/>
        </w:rPr>
        <w:t xml:space="preserve">Preset: </w:t>
      </w:r>
      <w:r>
        <w:rPr>
          <w:sz w:val="20"/>
        </w:rPr>
        <w:t>generic high-quality</w:t>
      </w:r>
    </w:p>
    <w:p>
      <w:pPr>
        <w:spacing w:after="40"/>
      </w:pPr>
      <w:r>
        <w:rPr>
          <w:b/>
          <w:color w:val="1F4E79"/>
          <w:sz w:val="20"/>
        </w:rPr>
        <w:t xml:space="preserve">Generated by: </w:t>
      </w:r>
      <w:r>
        <w:rPr>
          <w:sz w:val="20"/>
        </w:rPr>
        <w:t>paper-figures skill — lifelines / scikit-learn, seed = 0</w:t>
      </w:r>
    </w:p>
    <w:p>
      <w:pPr>
        <w:spacing w:before="240" w:after="80"/>
      </w:pPr>
      <w:r>
        <w:rPr>
          <w:b/>
          <w:sz w:val="24"/>
        </w:rPr>
        <w:t>Asset index / 图表清单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 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Claim 结论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Fig1.png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Deaths accrue over variable follow-up → survival analysis is required.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Fig2.png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Patients with reduced ejection fraction have markedly worse survival.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Fig3.png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deceased had lower ejection fraction and higher serum creatinine.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Fig4.png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Age, low EF and high creatinine independently raise mortality hazard.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Fig5.png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Predictors are weakly correlated — little collinearity.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Fig6.png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Serum creatinine + ejection fraction predict death almost as well as all features.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Table1.csv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Cohort description and univariable differences.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Table2.csv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 adjusted hazard ratios behind Fig. 4.</w:t>
            </w:r>
          </w:p>
        </w:tc>
      </w:tr>
    </w:tbl>
    <w:p>
      <w:pPr>
        <w:spacing w:before="280" w:after="80"/>
      </w:pPr>
      <w:r>
        <w:rPr>
          <w:b/>
          <w:color w:val="1F4E79"/>
          <w:sz w:val="26"/>
        </w:rPr>
        <w:t>Figure 1 — Cohort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9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Deaths accrue over variable follow-up → survival analysis is required.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1. Study cohort (n=299; 96 deaths). (A) Age distribution by outcome. (B) Follow-up time by outcome (box = median + IQR; points = patients). Variable follow-up motivates time-to-event analysis.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1。研究队列(n=299;96 例死亡)。(A)年龄分布按结局。(B)随访时间按结局(箱体=中位数+四分位距,散点=患者)。随访长短不一,故采用时间-事件分析。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A: </w:t>
      </w:r>
      <w:r>
        <w:rPr>
          <w:sz w:val="20"/>
        </w:rPr>
        <w:t>overlaid histograms</w:t>
      </w:r>
    </w:p>
    <w:p>
      <w:pPr>
        <w:pStyle w:val="ListBullet"/>
        <w:spacing w:after="20"/>
      </w:pPr>
      <w:r>
        <w:rPr>
          <w:b/>
          <w:sz w:val="20"/>
        </w:rPr>
        <w:t xml:space="preserve">B: </w:t>
      </w:r>
      <w:r>
        <w:rPr>
          <w:sz w:val="20"/>
        </w:rPr>
        <w:t>box + points</w:t>
      </w:r>
    </w:p>
    <w:p>
      <w:pPr>
        <w:pStyle w:val="ListBullet"/>
        <w:spacing w:after="20"/>
      </w:pPr>
      <w:r>
        <w:rPr>
          <w:b/>
          <w:sz w:val="20"/>
        </w:rPr>
        <w:t xml:space="preserve">Color: </w:t>
      </w:r>
      <w:r>
        <w:rPr>
          <w:sz w:val="20"/>
        </w:rPr>
        <w:t>blue = survived, orange = died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Methods/Results, cohort: "Of 299 patients, 96 (32%) died over a median 115-day follow-up (Fig. 1)."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scripts/make_fig1_cohort_overview.py</w:t>
      </w:r>
    </w:p>
    <w:p>
      <w:pPr>
        <w:spacing w:before="280" w:after="80"/>
      </w:pPr>
      <w:r>
        <w:rPr>
          <w:b/>
          <w:color w:val="1F4E79"/>
          <w:sz w:val="26"/>
        </w:rPr>
        <w:t>Figure 2 — Survival by ejection fraction (Kaplan–Meier)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572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7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Patients with reduced ejection fraction have markedly worse survival.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2. Kaplan–Meier survival by ejection-fraction category — reduced (&lt;30%, n=59), mid (30–45%, n=160), preserved (≥45%, n=80) — with 95% bands and numbers at risk/censored/events. Log-rank p&lt;0.001.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2。按射血分数分组的 Kaplan–Meier 生存曲线——降低(&lt;30%,n=59)、中间(30–45%,n=160)、保留(≥45%,n=80)——含 95% 置信带及风险/删失/事件数。log-rank p&lt;0.001。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Groups: </w:t>
      </w:r>
      <w:r>
        <w:rPr>
          <w:sz w:val="20"/>
        </w:rPr>
        <w:t>clinically defined EF strata</w:t>
      </w:r>
    </w:p>
    <w:p>
      <w:pPr>
        <w:pStyle w:val="ListBullet"/>
        <w:spacing w:after="20"/>
      </w:pPr>
      <w:r>
        <w:rPr>
          <w:b/>
          <w:sz w:val="20"/>
        </w:rPr>
        <w:t xml:space="preserve">Below plot: </w:t>
      </w:r>
      <w:r>
        <w:rPr>
          <w:sz w:val="20"/>
        </w:rPr>
        <w:t>at-risk / censored / events table</w:t>
      </w:r>
    </w:p>
    <w:p>
      <w:pPr>
        <w:pStyle w:val="ListBullet"/>
        <w:spacing w:after="20"/>
      </w:pPr>
      <w:r>
        <w:rPr>
          <w:b/>
          <w:sz w:val="20"/>
        </w:rPr>
        <w:t xml:space="preserve">Test: </w:t>
      </w:r>
      <w:r>
        <w:rPr>
          <w:sz w:val="20"/>
        </w:rPr>
        <w:t>3-group log-rank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survival: "Reduced ejection fraction was associated with lower survival (Fig. 2)."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scripts/make_fig2_kaplan_meier.py</w:t>
      </w:r>
    </w:p>
    <w:p>
      <w:pPr>
        <w:spacing w:before="280" w:after="80"/>
      </w:pPr>
      <w:r>
        <w:rPr>
          <w:b/>
          <w:color w:val="1F4E79"/>
          <w:sz w:val="26"/>
        </w:rPr>
        <w:t>Figure 3 — Key predictors by outcome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2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The deceased had lower ejection fraction and higher serum creatinine.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3. The two headline predictors by outcome. (A) Ejection fraction and (B) serum creatinine in patients who survived vs died. Box = median + IQR; points = patients. Mann–Whitney U; ***p&lt;0.001.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3。两个核心预测因子按结局。(A)射血分数、(B)血清肌酐,生存者与死亡者对比。箱体=中位数+四分位距,散点=患者。Mann–Whitney U;***p&lt;0.001。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Test: </w:t>
      </w:r>
      <w:r>
        <w:rPr>
          <w:sz w:val="20"/>
        </w:rPr>
        <w:t>Mann–Whitney U (creatinine right-skewed)</w:t>
      </w:r>
    </w:p>
    <w:p>
      <w:pPr>
        <w:pStyle w:val="ListBullet"/>
        <w:spacing w:after="20"/>
      </w:pPr>
      <w:r>
        <w:rPr>
          <w:b/>
          <w:sz w:val="20"/>
        </w:rPr>
        <w:t xml:space="preserve">Markers: </w:t>
      </w:r>
      <w:r>
        <w:rPr>
          <w:sz w:val="20"/>
        </w:rPr>
        <w:t>***p&lt;0.001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univariable: "EF was lower and creatinine higher among those who died (Fig. 3; Table 1)."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scripts/make_fig3_predictors_boxplot.py</w:t>
      </w:r>
    </w:p>
    <w:p>
      <w:pPr>
        <w:spacing w:before="280" w:after="80"/>
      </w:pPr>
      <w:r>
        <w:rPr>
          <w:b/>
          <w:color w:val="1F4E79"/>
          <w:sz w:val="26"/>
        </w:rPr>
        <w:t>Figure 4 — Multivariable Cox model (forest)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22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2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Age, low EF and high creatinine independently raise mortality hazard.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4. Hazard ratios (95% CI) from a multivariable Cox model (log scale; reference HR=1). Continuous predictors standardized (HR per 1 SD); coloured = p&lt;0.05. Age (1.74), creatinine (1.39), CPK (1.24), anaemia (1.58), hypertension (1.61) raised hazard; ejection fraction (0.56) lowered it. Concordance index = 0.74.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4。多因素 Cox 模型的风险比(95% CI;对数坐标,参考 HR=1)。连续变量标准化(HR 为每 1 SD);彩色为 p&lt;0.05。年龄(1.74)、肌酐(1.39)、CPK(1.24)、贫血(1.58)、高血压(1.61)升高风险;射血分数(0.56)降低风险。一致性指数=0.74。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Scale: </w:t>
      </w:r>
      <w:r>
        <w:rPr>
          <w:sz w:val="20"/>
        </w:rPr>
        <w:t>log-scale HR, reference at 1</w:t>
      </w:r>
    </w:p>
    <w:p>
      <w:pPr>
        <w:pStyle w:val="ListBullet"/>
        <w:spacing w:after="20"/>
      </w:pPr>
      <w:r>
        <w:rPr>
          <w:b/>
          <w:sz w:val="20"/>
        </w:rPr>
        <w:t xml:space="preserve">Continuous: </w:t>
      </w:r>
      <w:r>
        <w:rPr>
          <w:sz w:val="20"/>
        </w:rPr>
        <w:t>standardized → per 1 SD</w:t>
      </w:r>
    </w:p>
    <w:p>
      <w:pPr>
        <w:pStyle w:val="ListBullet"/>
        <w:spacing w:after="20"/>
      </w:pPr>
      <w:r>
        <w:rPr>
          <w:b/>
          <w:sz w:val="20"/>
        </w:rPr>
        <w:t xml:space="preserve">Highlight: </w:t>
      </w:r>
      <w:r>
        <w:rPr>
          <w:sz w:val="20"/>
        </w:rPr>
        <w:t>significant predictors coloured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adjusted analysis: "EF, creatinine and age were independent predictors (Fig. 4; Table 2)."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scripts/make_fig4_cox_forest.py</w:t>
      </w:r>
    </w:p>
    <w:p>
      <w:pPr>
        <w:spacing w:before="280" w:after="80"/>
      </w:pPr>
      <w:r>
        <w:rPr>
          <w:b/>
          <w:color w:val="1F4E79"/>
          <w:sz w:val="26"/>
        </w:rPr>
        <w:t>Figure 5 — Correlations among predictors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045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4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Predictors are weakly correlated — little collinearity.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5. Spearman correlations among continuous variables (diverging colormap centred at ρ=0; ρ annotated). Correlations are weak (|ρ|≤0.30), arguing against collinearity in the Cox model.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5。连续变量间的 Spearman 相关(发散色标以 ρ=0 为中心,标注 ρ)。相关普遍较弱(|ρ|≤0.30),表明 Cox 模型无明显共线性。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Method: </w:t>
      </w:r>
      <w:r>
        <w:rPr>
          <w:sz w:val="20"/>
        </w:rPr>
        <w:t>Spearman (robust to skew)</w:t>
      </w:r>
    </w:p>
    <w:p>
      <w:pPr>
        <w:pStyle w:val="ListBullet"/>
        <w:spacing w:after="20"/>
      </w:pPr>
      <w:r>
        <w:rPr>
          <w:b/>
          <w:sz w:val="20"/>
        </w:rPr>
        <w:t xml:space="preserve">Colormap: </w:t>
      </w:r>
      <w:r>
        <w:rPr>
          <w:sz w:val="20"/>
        </w:rPr>
        <w:t>diverging, centred at 0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diagnostics: "Predictors were weakly correlated, arguing against collinearity (Fig. 5)."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scripts/make_fig5_correlation.py</w:t>
      </w:r>
    </w:p>
    <w:p>
      <w:pPr>
        <w:spacing w:before="280" w:after="80"/>
      </w:pPr>
      <w:r>
        <w:rPr>
          <w:b/>
          <w:color w:val="1F4E79"/>
          <w:sz w:val="26"/>
        </w:rPr>
        <w:t>Figure 6 — Two features vs full set (ROC)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529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2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Serum creatinine + ejection fraction predict death almost as well as all features.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6. ROC for predicting in-study death (logistic regression, 5-fold cross-validated). A two-feature model — creatinine + ejection fraction (AUC=0.75) — nearly matched the full model (AUC=0.76). Follow-up time excluded to avoid leakage.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6。预测院内死亡的 ROC(Logistic 回归,5 折交叉验证)。仅用肌酐+射血分数(AUC=0.75)几乎与全特征模型(AUC=0.76)持平。已排除随访时间以防泄漏。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Validation: </w:t>
      </w:r>
      <w:r>
        <w:rPr>
          <w:sz w:val="20"/>
        </w:rPr>
        <w:t>cross-validated AUC, not in-sample</w:t>
      </w:r>
    </w:p>
    <w:p>
      <w:pPr>
        <w:pStyle w:val="ListBullet"/>
        <w:spacing w:after="20"/>
      </w:pPr>
      <w:r>
        <w:rPr>
          <w:b/>
          <w:sz w:val="20"/>
        </w:rPr>
        <w:t xml:space="preserve">Leakage: </w:t>
      </w:r>
      <w:r>
        <w:rPr>
          <w:sz w:val="20"/>
        </w:rPr>
        <w:t>`time` excluded as predictor</w:t>
      </w:r>
    </w:p>
    <w:p>
      <w:pPr>
        <w:pStyle w:val="ListBullet"/>
        <w:spacing w:after="20"/>
      </w:pPr>
      <w:r>
        <w:rPr>
          <w:b/>
          <w:sz w:val="20"/>
        </w:rPr>
        <w:t xml:space="preserve">Diagonal: </w:t>
      </w:r>
      <w:r>
        <w:rPr>
          <w:sz w:val="20"/>
        </w:rPr>
        <w:t>chance line shown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Discussion, parsimony: "Two features reproduced most of the full model's discrimination (Fig. 6)."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scripts/make_fig6_roc.py</w:t>
      </w:r>
    </w:p>
    <w:p>
      <w:pPr>
        <w:spacing w:before="280" w:after="80"/>
      </w:pPr>
      <w:r>
        <w:rPr>
          <w:b/>
          <w:color w:val="1F4E79"/>
          <w:sz w:val="26"/>
        </w:rPr>
        <w:t>Table 1 — Baseline characteristics</w:t>
      </w:r>
    </w:p>
    <w:p>
      <w:r>
        <w:rPr>
          <w:rFonts w:ascii="Times New Roman" w:hAnsi="Times New Roman"/>
          <w:b/>
          <w:sz w:val="20"/>
        </w:rPr>
        <w:t>Table 1. Baseline characteristics by survival status.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Survived (n=203)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Died (n=96)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Patients, 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nan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(years),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 [50–65]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 [55–75]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(%),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 [35–45]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[25–38]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(mg/dL),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 [0.90–1.20]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1.30 [1.08–1.90]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(mEq/L),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137 [136–140]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136 [133–138]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(×10³/µL),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263 [220–302]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258 [198–311]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0.426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(mcg/L),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245 [109–582]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 [129–582]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 (48%)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0.214</w:t>
            </w:r>
          </w:p>
        </w:tc>
      </w:tr>
      <w:tr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Smoking, n (%)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(31%)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0.932</w:t>
            </w:r>
          </w:p>
        </w:tc>
      </w:tr>
    </w:tbl>
    <w:p>
      <w:r>
        <w:rPr>
          <w:rFonts w:ascii="Times New Roman" w:hAnsi="Times New Roman"/>
          <w:i/>
          <w:sz w:val="18"/>
        </w:rPr>
        <w:t>Continuous: median [IQR], Mann–Whitney U; binary: n (%), chi-square. Data: Chicco &amp; Jurman (2020).</w:t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Cohort description and univariable differences.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Continuous: </w:t>
      </w:r>
      <w:r>
        <w:rPr>
          <w:sz w:val="20"/>
        </w:rPr>
        <w:t>median [IQR]</w:t>
      </w:r>
    </w:p>
    <w:p>
      <w:pPr>
        <w:pStyle w:val="ListBullet"/>
        <w:spacing w:after="20"/>
      </w:pPr>
      <w:r>
        <w:rPr>
          <w:b/>
          <w:sz w:val="20"/>
        </w:rPr>
        <w:t xml:space="preserve">Binary: </w:t>
      </w:r>
      <w:r>
        <w:rPr>
          <w:sz w:val="20"/>
        </w:rPr>
        <w:t>n (%)</w:t>
      </w:r>
    </w:p>
    <w:p>
      <w:pPr>
        <w:pStyle w:val="ListBullet"/>
        <w:spacing w:after="20"/>
      </w:pPr>
      <w:r>
        <w:rPr>
          <w:b/>
          <w:sz w:val="20"/>
        </w:rPr>
        <w:t xml:space="preserve">p: </w:t>
      </w:r>
      <w:r>
        <w:rPr>
          <w:sz w:val="20"/>
        </w:rPr>
        <w:t>univariable, unadjusted for follow-up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opening: "Baseline characteristics are summarized in Table 1."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scripts/make_table1_baseline.py</w:t>
      </w:r>
    </w:p>
    <w:p>
      <w:pPr>
        <w:spacing w:before="280" w:after="80"/>
      </w:pPr>
      <w:r>
        <w:rPr>
          <w:b/>
          <w:color w:val="1F4E79"/>
          <w:sz w:val="26"/>
        </w:rPr>
        <w:t>Table 2 — Multivariable Cox model</w:t>
      </w:r>
    </w:p>
    <w:p>
      <w:r>
        <w:rPr>
          <w:rFonts w:ascii="Times New Roman" w:hAnsi="Times New Roman"/>
          <w:b/>
          <w:sz w:val="20"/>
        </w:rPr>
        <w:t>Table 2. Multivariable Cox proportional-hazards model for mortality.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Predictor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HR [95% CI]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1.74 [1.40, 2.16]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 [0.44, 0.71]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1.39 [1.21, 1.61]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 [0.67, 1.01]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 [0.77, 1.19]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 [1.03, 1.50]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 [0.48, 1.29]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1.58 [1.04, 2.42]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 [0.74, 1.78]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1.61 [1.05, 2.46]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0.028</w:t>
            </w:r>
          </w:p>
        </w:tc>
      </w:tr>
      <w:tr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1.14 [0.70, 1.86]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0.608</w:t>
            </w:r>
          </w:p>
        </w:tc>
      </w:tr>
    </w:tbl>
    <w:p>
      <w:r>
        <w:rPr>
          <w:rFonts w:ascii="Times New Roman" w:hAnsi="Times New Roman"/>
          <w:i/>
          <w:sz w:val="18"/>
        </w:rPr>
        <w:t>HR with 95% CI; continuous predictors standardized (per 1 SD). C-index = 0.74; n=299, events=96. Data: Chicco &amp; Jurman (2020).</w:t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Exact adjusted hazard ratios behind Fig. 4.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Model: </w:t>
      </w:r>
      <w:r>
        <w:rPr>
          <w:sz w:val="20"/>
        </w:rPr>
        <w:t>all covariates jointly</w:t>
      </w:r>
    </w:p>
    <w:p>
      <w:pPr>
        <w:pStyle w:val="ListBullet"/>
        <w:spacing w:after="20"/>
      </w:pPr>
      <w:r>
        <w:rPr>
          <w:b/>
          <w:sz w:val="20"/>
        </w:rPr>
        <w:t xml:space="preserve">Continuous: </w:t>
      </w:r>
      <w:r>
        <w:rPr>
          <w:sz w:val="20"/>
        </w:rPr>
        <w:t>per 1 SD</w:t>
      </w:r>
    </w:p>
    <w:p>
      <w:pPr>
        <w:pStyle w:val="ListBullet"/>
        <w:spacing w:after="20"/>
      </w:pPr>
      <w:r>
        <w:rPr>
          <w:b/>
          <w:sz w:val="20"/>
        </w:rPr>
        <w:t xml:space="preserve">Fit: </w:t>
      </w:r>
      <w:r>
        <w:rPr>
          <w:sz w:val="20"/>
        </w:rPr>
        <w:t>C-index reported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adjusted analysis: exact HRs cited alongside Fig. 4.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scripts/make_table2_cox.py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