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b/>
          <w:color w:val="1F4E79"/>
          <w:sz w:val="36"/>
        </w:rPr>
        <w:t>Figure &amp; Table Report</w:t>
      </w:r>
    </w:p>
    <w:p>
      <w:pPr>
        <w:spacing w:before="0" w:after="160"/>
      </w:pPr>
      <w:r>
        <w:rPr>
          <w:b w:val="0"/>
          <w:sz w:val="24"/>
        </w:rPr>
        <w:t>Heart-failure survival — paper-figures worked example</w:t>
      </w:r>
    </w:p>
    <w:p>
      <w:pPr>
        <w:spacing w:after="40"/>
      </w:pPr>
      <w:r>
        <w:rPr>
          <w:b/>
          <w:color w:val="1F4E79"/>
          <w:sz w:val="20"/>
        </w:rPr>
        <w:t xml:space="preserve">Source paper: </w:t>
      </w:r>
      <w:r>
        <w:rPr>
          <w:sz w:val="20"/>
        </w:rPr>
        <w:t>Chicco &amp; Jurman (2020), BMC Med Inform Decis Mak 20:16 (CC BY 4.0)</w:t>
      </w:r>
    </w:p>
    <w:p>
      <w:pPr>
        <w:spacing w:after="40"/>
      </w:pPr>
      <w:r>
        <w:rPr>
          <w:b/>
          <w:color w:val="1F4E79"/>
          <w:sz w:val="20"/>
        </w:rPr>
        <w:t xml:space="preserve">Data: </w:t>
      </w:r>
      <w:r>
        <w:rPr>
          <w:sz w:val="20"/>
        </w:rPr>
        <w:t>UCI dataset 519 (CC BY 4.0); 299 patients, 96 deaths (32%), median follow-up 115 d</w:t>
      </w:r>
    </w:p>
    <w:p>
      <w:pPr>
        <w:spacing w:after="40"/>
      </w:pPr>
      <w:r>
        <w:rPr>
          <w:b/>
          <w:color w:val="1F4E79"/>
          <w:sz w:val="20"/>
        </w:rPr>
        <w:t xml:space="preserve">Preset: </w:t>
      </w:r>
      <w:r>
        <w:rPr>
          <w:sz w:val="20"/>
        </w:rPr>
        <w:t>generic high-quality</w:t>
      </w:r>
    </w:p>
    <w:p>
      <w:pPr>
        <w:spacing w:after="40"/>
      </w:pPr>
      <w:r>
        <w:rPr>
          <w:b/>
          <w:color w:val="1F4E79"/>
          <w:sz w:val="20"/>
        </w:rPr>
        <w:t xml:space="preserve">Generated by: </w:t>
      </w:r>
      <w:r>
        <w:rPr>
          <w:sz w:val="20"/>
        </w:rPr>
        <w:t>paper-figures skill — lifelines / scikit-learn, seed = 0</w:t>
      </w:r>
    </w:p>
    <w:p>
      <w:pPr>
        <w:spacing w:before="240" w:after="80"/>
      </w:pPr>
      <w:r>
        <w:rPr>
          <w:b/>
          <w:sz w:val="24"/>
        </w:rPr>
        <w:t>Asset index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File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Claim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Figure 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Fig1.png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Deaths accrue over variable follow-up → survival analysis is required.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Figure 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Fig2.png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Patients with reduced ejection fraction have markedly worse survival.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Figure 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Fig3.png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The deceased had lower ejection fraction and higher serum creatinine.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Figure 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Fig4.png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Age, low EF and high creatinine independently raise mortality hazard.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Figure 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Fig5.png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Predictors are weakly correlated — little collinearity.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Figure 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Fig6.png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Serum creatinine + ejection fraction predict death almost as well as all features.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Table 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Table1.csv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Cohort description and univariable differences.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Table 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Table2.csv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Exact adjusted hazard ratios behind Fig. 4.</w:t>
            </w:r>
          </w:p>
        </w:tc>
      </w:tr>
    </w:tbl>
    <w:p>
      <w:pPr>
        <w:spacing w:before="280" w:after="80"/>
      </w:pPr>
      <w:r>
        <w:rPr>
          <w:b/>
          <w:color w:val="1F4E79"/>
          <w:sz w:val="26"/>
        </w:rPr>
        <w:t>Figure 1 — Cohort overview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39836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983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  <w:color w:val="1F4E79"/>
          <w:sz w:val="20"/>
        </w:rPr>
        <w:t xml:space="preserve">Claim: </w:t>
      </w:r>
      <w:r>
        <w:rPr>
          <w:sz w:val="20"/>
        </w:rPr>
        <w:t>Deaths accrue over variable follow-up → survival analysis is required.</w:t>
      </w:r>
    </w:p>
    <w:p>
      <w:pPr>
        <w:spacing w:after="40"/>
      </w:pPr>
      <w:r>
        <w:rPr>
          <w:b/>
          <w:color w:val="1F4E79"/>
          <w:sz w:val="20"/>
        </w:rPr>
        <w:t xml:space="preserve">Caption: </w:t>
      </w:r>
      <w:r>
        <w:rPr>
          <w:sz w:val="20"/>
        </w:rPr>
        <w:t>Figure 1. Study cohort (n=299; 96 deaths). (A) Age distribution by outcome. (B) Follow-up time by outcome (box = median + IQR; points = patients). Variable follow-up motivates time-to-event analysis.</w:t>
      </w:r>
    </w:p>
    <w:p>
      <w:pPr>
        <w:spacing w:after="40"/>
      </w:pPr>
      <w:r>
        <w:rPr>
          <w:b/>
          <w:color w:val="1F4E79"/>
          <w:sz w:val="20"/>
        </w:rPr>
        <w:t>Annotations</w:t>
      </w:r>
    </w:p>
    <w:p>
      <w:pPr>
        <w:pStyle w:val="ListBullet"/>
        <w:spacing w:after="20"/>
      </w:pPr>
      <w:r>
        <w:rPr>
          <w:b/>
          <w:sz w:val="20"/>
        </w:rPr>
        <w:t xml:space="preserve">A: </w:t>
      </w:r>
      <w:r>
        <w:rPr>
          <w:sz w:val="20"/>
        </w:rPr>
        <w:t>overlaid histograms</w:t>
      </w:r>
    </w:p>
    <w:p>
      <w:pPr>
        <w:pStyle w:val="ListBullet"/>
        <w:spacing w:after="20"/>
      </w:pPr>
      <w:r>
        <w:rPr>
          <w:b/>
          <w:sz w:val="20"/>
        </w:rPr>
        <w:t xml:space="preserve">B: </w:t>
      </w:r>
      <w:r>
        <w:rPr>
          <w:sz w:val="20"/>
        </w:rPr>
        <w:t>box + points</w:t>
      </w:r>
    </w:p>
    <w:p>
      <w:pPr>
        <w:pStyle w:val="ListBullet"/>
        <w:spacing w:after="20"/>
      </w:pPr>
      <w:r>
        <w:rPr>
          <w:b/>
          <w:sz w:val="20"/>
        </w:rPr>
        <w:t xml:space="preserve">Color: </w:t>
      </w:r>
      <w:r>
        <w:rPr>
          <w:sz w:val="20"/>
        </w:rPr>
        <w:t>blue = survived, orange = died</w:t>
      </w:r>
    </w:p>
    <w:p>
      <w:pPr>
        <w:spacing w:after="40"/>
      </w:pPr>
      <w:r>
        <w:rPr>
          <w:b/>
          <w:color w:val="1F4E79"/>
          <w:sz w:val="20"/>
        </w:rPr>
        <w:t xml:space="preserve">Citation location: </w:t>
      </w:r>
      <w:r>
        <w:rPr>
          <w:sz w:val="20"/>
        </w:rPr>
        <w:t>Methods/Results, cohort: "Of 299 patients, 96 (32%) died over a median 115-day follow-up (Fig. 1)."</w:t>
      </w:r>
    </w:p>
    <w:p>
      <w:pPr>
        <w:spacing w:after="40"/>
      </w:pPr>
      <w:r>
        <w:rPr>
          <w:b/>
          <w:color w:val="1F4E79"/>
          <w:sz w:val="20"/>
        </w:rPr>
        <w:t xml:space="preserve">Reproducibility: </w:t>
      </w:r>
      <w:r>
        <w:rPr>
          <w:sz w:val="20"/>
        </w:rPr>
        <w:t>scripts/make_fig1_cohort_overview.py</w:t>
      </w:r>
    </w:p>
    <w:p>
      <w:pPr>
        <w:spacing w:before="280" w:after="80"/>
      </w:pPr>
      <w:r>
        <w:rPr>
          <w:b/>
          <w:color w:val="1F4E79"/>
          <w:sz w:val="26"/>
        </w:rPr>
        <w:t>Figure 2 — Survival by ejection fraction (Kaplan–Meier)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840480" cy="457234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45723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  <w:color w:val="1F4E79"/>
          <w:sz w:val="20"/>
        </w:rPr>
        <w:t xml:space="preserve">Claim: </w:t>
      </w:r>
      <w:r>
        <w:rPr>
          <w:sz w:val="20"/>
        </w:rPr>
        <w:t>Patients with reduced ejection fraction have markedly worse survival.</w:t>
      </w:r>
    </w:p>
    <w:p>
      <w:pPr>
        <w:spacing w:after="40"/>
      </w:pPr>
      <w:r>
        <w:rPr>
          <w:b/>
          <w:color w:val="1F4E79"/>
          <w:sz w:val="20"/>
        </w:rPr>
        <w:t xml:space="preserve">Caption: </w:t>
      </w:r>
      <w:r>
        <w:rPr>
          <w:sz w:val="20"/>
        </w:rPr>
        <w:t>Figure 2. Kaplan–Meier survival by ejection-fraction category — reduced (&lt;30%, n=59), mid (30–45%, n=160), preserved (≥45%, n=80) — with 95% bands and numbers at risk/censored/events. Log-rank p&lt;0.001.</w:t>
      </w:r>
    </w:p>
    <w:p>
      <w:pPr>
        <w:spacing w:after="40"/>
      </w:pPr>
      <w:r>
        <w:rPr>
          <w:b/>
          <w:color w:val="1F4E79"/>
          <w:sz w:val="20"/>
        </w:rPr>
        <w:t>Annotations</w:t>
      </w:r>
    </w:p>
    <w:p>
      <w:pPr>
        <w:pStyle w:val="ListBullet"/>
        <w:spacing w:after="20"/>
      </w:pPr>
      <w:r>
        <w:rPr>
          <w:b/>
          <w:sz w:val="20"/>
        </w:rPr>
        <w:t xml:space="preserve">Groups: </w:t>
      </w:r>
      <w:r>
        <w:rPr>
          <w:sz w:val="20"/>
        </w:rPr>
        <w:t>clinically defined EF strata</w:t>
      </w:r>
    </w:p>
    <w:p>
      <w:pPr>
        <w:pStyle w:val="ListBullet"/>
        <w:spacing w:after="20"/>
      </w:pPr>
      <w:r>
        <w:rPr>
          <w:b/>
          <w:sz w:val="20"/>
        </w:rPr>
        <w:t xml:space="preserve">Below plot: </w:t>
      </w:r>
      <w:r>
        <w:rPr>
          <w:sz w:val="20"/>
        </w:rPr>
        <w:t>at-risk / censored / events table</w:t>
      </w:r>
    </w:p>
    <w:p>
      <w:pPr>
        <w:pStyle w:val="ListBullet"/>
        <w:spacing w:after="20"/>
      </w:pPr>
      <w:r>
        <w:rPr>
          <w:b/>
          <w:sz w:val="20"/>
        </w:rPr>
        <w:t xml:space="preserve">Test: </w:t>
      </w:r>
      <w:r>
        <w:rPr>
          <w:sz w:val="20"/>
        </w:rPr>
        <w:t>3-group log-rank</w:t>
      </w:r>
    </w:p>
    <w:p>
      <w:pPr>
        <w:spacing w:after="40"/>
      </w:pPr>
      <w:r>
        <w:rPr>
          <w:b/>
          <w:color w:val="1F4E79"/>
          <w:sz w:val="20"/>
        </w:rPr>
        <w:t xml:space="preserve">Citation location: </w:t>
      </w:r>
      <w:r>
        <w:rPr>
          <w:sz w:val="20"/>
        </w:rPr>
        <w:t>Results, survival: "Reduced ejection fraction was associated with lower survival (Fig. 2)."</w:t>
      </w:r>
    </w:p>
    <w:p>
      <w:pPr>
        <w:spacing w:after="40"/>
      </w:pPr>
      <w:r>
        <w:rPr>
          <w:b/>
          <w:color w:val="1F4E79"/>
          <w:sz w:val="20"/>
        </w:rPr>
        <w:t xml:space="preserve">Reproducibility: </w:t>
      </w:r>
      <w:r>
        <w:rPr>
          <w:sz w:val="20"/>
        </w:rPr>
        <w:t>scripts/make_fig2_kaplan_meier.py</w:t>
      </w:r>
    </w:p>
    <w:p>
      <w:pPr>
        <w:spacing w:before="280" w:after="80"/>
      </w:pPr>
      <w:r>
        <w:rPr>
          <w:b/>
          <w:color w:val="1F4E79"/>
          <w:sz w:val="26"/>
        </w:rPr>
        <w:t>Figure 3 — Key predictors by outcome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57289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728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  <w:color w:val="1F4E79"/>
          <w:sz w:val="20"/>
        </w:rPr>
        <w:t xml:space="preserve">Claim: </w:t>
      </w:r>
      <w:r>
        <w:rPr>
          <w:sz w:val="20"/>
        </w:rPr>
        <w:t>The deceased had lower ejection fraction and higher serum creatinine.</w:t>
      </w:r>
    </w:p>
    <w:p>
      <w:pPr>
        <w:spacing w:after="40"/>
      </w:pPr>
      <w:r>
        <w:rPr>
          <w:b/>
          <w:color w:val="1F4E79"/>
          <w:sz w:val="20"/>
        </w:rPr>
        <w:t xml:space="preserve">Caption: </w:t>
      </w:r>
      <w:r>
        <w:rPr>
          <w:sz w:val="20"/>
        </w:rPr>
        <w:t>Figure 3. The two headline predictors by outcome. (A) Ejection fraction and (B) serum creatinine in patients who survived vs died. Box = median + IQR; points = patients. Mann–Whitney U; ***p&lt;0.001.</w:t>
      </w:r>
    </w:p>
    <w:p>
      <w:pPr>
        <w:spacing w:after="40"/>
      </w:pPr>
      <w:r>
        <w:rPr>
          <w:b/>
          <w:color w:val="1F4E79"/>
          <w:sz w:val="20"/>
        </w:rPr>
        <w:t>Annotations</w:t>
      </w:r>
    </w:p>
    <w:p>
      <w:pPr>
        <w:pStyle w:val="ListBullet"/>
        <w:spacing w:after="20"/>
      </w:pPr>
      <w:r>
        <w:rPr>
          <w:b/>
          <w:sz w:val="20"/>
        </w:rPr>
        <w:t xml:space="preserve">Test: </w:t>
      </w:r>
      <w:r>
        <w:rPr>
          <w:sz w:val="20"/>
        </w:rPr>
        <w:t>Mann–Whitney U (creatinine right-skewed)</w:t>
      </w:r>
    </w:p>
    <w:p>
      <w:pPr>
        <w:pStyle w:val="ListBullet"/>
        <w:spacing w:after="20"/>
      </w:pPr>
      <w:r>
        <w:rPr>
          <w:b/>
          <w:sz w:val="20"/>
        </w:rPr>
        <w:t xml:space="preserve">Markers: </w:t>
      </w:r>
      <w:r>
        <w:rPr>
          <w:sz w:val="20"/>
        </w:rPr>
        <w:t>***p&lt;0.001</w:t>
      </w:r>
    </w:p>
    <w:p>
      <w:pPr>
        <w:spacing w:after="40"/>
      </w:pPr>
      <w:r>
        <w:rPr>
          <w:b/>
          <w:color w:val="1F4E79"/>
          <w:sz w:val="20"/>
        </w:rPr>
        <w:t xml:space="preserve">Citation location: </w:t>
      </w:r>
      <w:r>
        <w:rPr>
          <w:sz w:val="20"/>
        </w:rPr>
        <w:t>Results, univariable: "EF was lower and creatinine higher among those who died (Fig. 3; Table 1)."</w:t>
      </w:r>
    </w:p>
    <w:p>
      <w:pPr>
        <w:spacing w:after="40"/>
      </w:pPr>
      <w:r>
        <w:rPr>
          <w:b/>
          <w:color w:val="1F4E79"/>
          <w:sz w:val="20"/>
        </w:rPr>
        <w:t xml:space="preserve">Reproducibility: </w:t>
      </w:r>
      <w:r>
        <w:rPr>
          <w:sz w:val="20"/>
        </w:rPr>
        <w:t>scripts/make_fig3_predictors_boxplot.py</w:t>
      </w:r>
    </w:p>
    <w:p>
      <w:pPr>
        <w:spacing w:before="280" w:after="80"/>
      </w:pPr>
      <w:r>
        <w:rPr>
          <w:b/>
          <w:color w:val="1F4E79"/>
          <w:sz w:val="26"/>
        </w:rPr>
        <w:t>Figure 4 — Multivariable Cox model (forest)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432249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322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  <w:color w:val="1F4E79"/>
          <w:sz w:val="20"/>
        </w:rPr>
        <w:t xml:space="preserve">Claim: </w:t>
      </w:r>
      <w:r>
        <w:rPr>
          <w:sz w:val="20"/>
        </w:rPr>
        <w:t>Age, low EF and high creatinine independently raise mortality hazard.</w:t>
      </w:r>
    </w:p>
    <w:p>
      <w:pPr>
        <w:spacing w:after="40"/>
      </w:pPr>
      <w:r>
        <w:rPr>
          <w:b/>
          <w:color w:val="1F4E79"/>
          <w:sz w:val="20"/>
        </w:rPr>
        <w:t xml:space="preserve">Caption: </w:t>
      </w:r>
      <w:r>
        <w:rPr>
          <w:sz w:val="20"/>
        </w:rPr>
        <w:t>Figure 4. Hazard ratios (95% CI) from a multivariable Cox model (log scale; reference HR=1). Continuous predictors standardized (HR per 1 SD); coloured = p&lt;0.05. Age (1.74), creatinine (1.39), CPK (1.24), anaemia (1.58), hypertension (1.61) raised hazard; ejection fraction (0.56) lowered it. Concordance index = 0.74.</w:t>
      </w:r>
    </w:p>
    <w:p>
      <w:pPr>
        <w:spacing w:after="40"/>
      </w:pPr>
      <w:r>
        <w:rPr>
          <w:b/>
          <w:color w:val="1F4E79"/>
          <w:sz w:val="20"/>
        </w:rPr>
        <w:t>Annotations</w:t>
      </w:r>
    </w:p>
    <w:p>
      <w:pPr>
        <w:pStyle w:val="ListBullet"/>
        <w:spacing w:after="20"/>
      </w:pPr>
      <w:r>
        <w:rPr>
          <w:b/>
          <w:sz w:val="20"/>
        </w:rPr>
        <w:t xml:space="preserve">Scale: </w:t>
      </w:r>
      <w:r>
        <w:rPr>
          <w:sz w:val="20"/>
        </w:rPr>
        <w:t>log-scale HR, reference at 1</w:t>
      </w:r>
    </w:p>
    <w:p>
      <w:pPr>
        <w:pStyle w:val="ListBullet"/>
        <w:spacing w:after="20"/>
      </w:pPr>
      <w:r>
        <w:rPr>
          <w:b/>
          <w:sz w:val="20"/>
        </w:rPr>
        <w:t xml:space="preserve">Continuous: </w:t>
      </w:r>
      <w:r>
        <w:rPr>
          <w:sz w:val="20"/>
        </w:rPr>
        <w:t>standardized → per 1 SD</w:t>
      </w:r>
    </w:p>
    <w:p>
      <w:pPr>
        <w:pStyle w:val="ListBullet"/>
        <w:spacing w:after="20"/>
      </w:pPr>
      <w:r>
        <w:rPr>
          <w:b/>
          <w:sz w:val="20"/>
        </w:rPr>
        <w:t xml:space="preserve">Highlight: </w:t>
      </w:r>
      <w:r>
        <w:rPr>
          <w:sz w:val="20"/>
        </w:rPr>
        <w:t>significant predictors coloured</w:t>
      </w:r>
    </w:p>
    <w:p>
      <w:pPr>
        <w:spacing w:after="40"/>
      </w:pPr>
      <w:r>
        <w:rPr>
          <w:b/>
          <w:color w:val="1F4E79"/>
          <w:sz w:val="20"/>
        </w:rPr>
        <w:t xml:space="preserve">Citation location: </w:t>
      </w:r>
      <w:r>
        <w:rPr>
          <w:sz w:val="20"/>
        </w:rPr>
        <w:t>Results, adjusted analysis: "EF, creatinine and age were independent predictors (Fig. 4; Table 2)."</w:t>
      </w:r>
    </w:p>
    <w:p>
      <w:pPr>
        <w:spacing w:after="40"/>
      </w:pPr>
      <w:r>
        <w:rPr>
          <w:b/>
          <w:color w:val="1F4E79"/>
          <w:sz w:val="20"/>
        </w:rPr>
        <w:t xml:space="preserve">Reproducibility: </w:t>
      </w:r>
      <w:r>
        <w:rPr>
          <w:sz w:val="20"/>
        </w:rPr>
        <w:t>scripts/make_fig4_cox_forest.py</w:t>
      </w:r>
    </w:p>
    <w:p>
      <w:pPr>
        <w:spacing w:before="280" w:after="80"/>
      </w:pPr>
      <w:r>
        <w:rPr>
          <w:b/>
          <w:color w:val="1F4E79"/>
          <w:sz w:val="26"/>
        </w:rPr>
        <w:t>Figure 5 — Correlations among predictors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840480" cy="304526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30452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  <w:color w:val="1F4E79"/>
          <w:sz w:val="20"/>
        </w:rPr>
        <w:t xml:space="preserve">Claim: </w:t>
      </w:r>
      <w:r>
        <w:rPr>
          <w:sz w:val="20"/>
        </w:rPr>
        <w:t>Predictors are weakly correlated — little collinearity.</w:t>
      </w:r>
    </w:p>
    <w:p>
      <w:pPr>
        <w:spacing w:after="40"/>
      </w:pPr>
      <w:r>
        <w:rPr>
          <w:b/>
          <w:color w:val="1F4E79"/>
          <w:sz w:val="20"/>
        </w:rPr>
        <w:t xml:space="preserve">Caption: </w:t>
      </w:r>
      <w:r>
        <w:rPr>
          <w:sz w:val="20"/>
        </w:rPr>
        <w:t>Figure 5. Spearman correlations among continuous variables (diverging colormap centred at ρ=0; ρ annotated). Correlations are weak (|ρ|≤0.30), arguing against collinearity in the Cox model.</w:t>
      </w:r>
    </w:p>
    <w:p>
      <w:pPr>
        <w:spacing w:after="40"/>
      </w:pPr>
      <w:r>
        <w:rPr>
          <w:b/>
          <w:color w:val="1F4E79"/>
          <w:sz w:val="20"/>
        </w:rPr>
        <w:t>Annotations</w:t>
      </w:r>
    </w:p>
    <w:p>
      <w:pPr>
        <w:pStyle w:val="ListBullet"/>
        <w:spacing w:after="20"/>
      </w:pPr>
      <w:r>
        <w:rPr>
          <w:b/>
          <w:sz w:val="20"/>
        </w:rPr>
        <w:t xml:space="preserve">Method: </w:t>
      </w:r>
      <w:r>
        <w:rPr>
          <w:sz w:val="20"/>
        </w:rPr>
        <w:t>Spearman (robust to skew)</w:t>
      </w:r>
    </w:p>
    <w:p>
      <w:pPr>
        <w:pStyle w:val="ListBullet"/>
        <w:spacing w:after="20"/>
      </w:pPr>
      <w:r>
        <w:rPr>
          <w:b/>
          <w:sz w:val="20"/>
        </w:rPr>
        <w:t xml:space="preserve">Colormap: </w:t>
      </w:r>
      <w:r>
        <w:rPr>
          <w:sz w:val="20"/>
        </w:rPr>
        <w:t>diverging, centred at 0</w:t>
      </w:r>
    </w:p>
    <w:p>
      <w:pPr>
        <w:spacing w:after="40"/>
      </w:pPr>
      <w:r>
        <w:rPr>
          <w:b/>
          <w:color w:val="1F4E79"/>
          <w:sz w:val="20"/>
        </w:rPr>
        <w:t xml:space="preserve">Citation location: </w:t>
      </w:r>
      <w:r>
        <w:rPr>
          <w:sz w:val="20"/>
        </w:rPr>
        <w:t>Results, diagnostics: "Predictors were weakly correlated, arguing against collinearity (Fig. 5)."</w:t>
      </w:r>
    </w:p>
    <w:p>
      <w:pPr>
        <w:spacing w:after="40"/>
      </w:pPr>
      <w:r>
        <w:rPr>
          <w:b/>
          <w:color w:val="1F4E79"/>
          <w:sz w:val="20"/>
        </w:rPr>
        <w:t xml:space="preserve">Reproducibility: </w:t>
      </w:r>
      <w:r>
        <w:rPr>
          <w:sz w:val="20"/>
        </w:rPr>
        <w:t>scripts/make_fig5_correlation.py</w:t>
      </w:r>
    </w:p>
    <w:p>
      <w:pPr>
        <w:spacing w:before="280" w:after="80"/>
      </w:pPr>
      <w:r>
        <w:rPr>
          <w:b/>
          <w:color w:val="1F4E79"/>
          <w:sz w:val="26"/>
        </w:rPr>
        <w:t>Figure 6 — Two features vs full set (ROC)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840480" cy="352943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35294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  <w:color w:val="1F4E79"/>
          <w:sz w:val="20"/>
        </w:rPr>
        <w:t xml:space="preserve">Claim: </w:t>
      </w:r>
      <w:r>
        <w:rPr>
          <w:sz w:val="20"/>
        </w:rPr>
        <w:t>Serum creatinine + ejection fraction predict death almost as well as all features.</w:t>
      </w:r>
    </w:p>
    <w:p>
      <w:pPr>
        <w:spacing w:after="40"/>
      </w:pPr>
      <w:r>
        <w:rPr>
          <w:b/>
          <w:color w:val="1F4E79"/>
          <w:sz w:val="20"/>
        </w:rPr>
        <w:t xml:space="preserve">Caption: </w:t>
      </w:r>
      <w:r>
        <w:rPr>
          <w:sz w:val="20"/>
        </w:rPr>
        <w:t>Figure 6. ROC for predicting in-study death (logistic regression, 5-fold cross-validated). A two-feature model — creatinine + ejection fraction (AUC=0.75) — nearly matched the full model (AUC=0.76). Follow-up time excluded to avoid leakage.</w:t>
      </w:r>
    </w:p>
    <w:p>
      <w:pPr>
        <w:spacing w:after="40"/>
      </w:pPr>
      <w:r>
        <w:rPr>
          <w:b/>
          <w:color w:val="1F4E79"/>
          <w:sz w:val="20"/>
        </w:rPr>
        <w:t>Annotations</w:t>
      </w:r>
    </w:p>
    <w:p>
      <w:pPr>
        <w:pStyle w:val="ListBullet"/>
        <w:spacing w:after="20"/>
      </w:pPr>
      <w:r>
        <w:rPr>
          <w:b/>
          <w:sz w:val="20"/>
        </w:rPr>
        <w:t xml:space="preserve">Validation: </w:t>
      </w:r>
      <w:r>
        <w:rPr>
          <w:sz w:val="20"/>
        </w:rPr>
        <w:t>cross-validated AUC, not in-sample</w:t>
      </w:r>
    </w:p>
    <w:p>
      <w:pPr>
        <w:pStyle w:val="ListBullet"/>
        <w:spacing w:after="20"/>
      </w:pPr>
      <w:r>
        <w:rPr>
          <w:b/>
          <w:sz w:val="20"/>
        </w:rPr>
        <w:t xml:space="preserve">Leakage: </w:t>
      </w:r>
      <w:r>
        <w:rPr>
          <w:sz w:val="20"/>
        </w:rPr>
        <w:t>`time` excluded as predictor</w:t>
      </w:r>
    </w:p>
    <w:p>
      <w:pPr>
        <w:pStyle w:val="ListBullet"/>
        <w:spacing w:after="20"/>
      </w:pPr>
      <w:r>
        <w:rPr>
          <w:b/>
          <w:sz w:val="20"/>
        </w:rPr>
        <w:t xml:space="preserve">Diagonal: </w:t>
      </w:r>
      <w:r>
        <w:rPr>
          <w:sz w:val="20"/>
        </w:rPr>
        <w:t>chance line shown</w:t>
      </w:r>
    </w:p>
    <w:p>
      <w:pPr>
        <w:spacing w:after="40"/>
      </w:pPr>
      <w:r>
        <w:rPr>
          <w:b/>
          <w:color w:val="1F4E79"/>
          <w:sz w:val="20"/>
        </w:rPr>
        <w:t xml:space="preserve">Citation location: </w:t>
      </w:r>
      <w:r>
        <w:rPr>
          <w:sz w:val="20"/>
        </w:rPr>
        <w:t>Discussion, parsimony: "Two features reproduced most of the full model's discrimination (Fig. 6)."</w:t>
      </w:r>
    </w:p>
    <w:p>
      <w:pPr>
        <w:spacing w:after="40"/>
      </w:pPr>
      <w:r>
        <w:rPr>
          <w:b/>
          <w:color w:val="1F4E79"/>
          <w:sz w:val="20"/>
        </w:rPr>
        <w:t xml:space="preserve">Reproducibility: </w:t>
      </w:r>
      <w:r>
        <w:rPr>
          <w:sz w:val="20"/>
        </w:rPr>
        <w:t>scripts/make_fig6_roc.py</w:t>
      </w:r>
    </w:p>
    <w:p>
      <w:pPr>
        <w:spacing w:before="280" w:after="80"/>
      </w:pPr>
      <w:r>
        <w:rPr>
          <w:b/>
          <w:color w:val="1F4E79"/>
          <w:sz w:val="26"/>
        </w:rPr>
        <w:t>Table 1 — Baseline characteristics</w:t>
      </w:r>
    </w:p>
    <w:p>
      <w:r>
        <w:rPr>
          <w:rFonts w:ascii="Times New Roman" w:hAnsi="Times New Roman"/>
          <w:b/>
          <w:sz w:val="20"/>
        </w:rPr>
        <w:t>Table 1. Baseline characteristics by survival status.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sz="12" w:val="single" w:color="000000"/>
              <w:bottom w:sz="6" w:val="single" w:color="000000"/>
              <w:left w:sz="0" w:val="nil"/>
              <w:right w:sz="0"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Characteristic</w:t>
            </w:r>
          </w:p>
        </w:tc>
        <w:tc>
          <w:tcPr>
            <w:tcW w:type="dxa" w:w="2160"/>
            <w:tcBorders>
              <w:top w:sz="12" w:val="single" w:color="000000"/>
              <w:bottom w:sz="6" w:val="single" w:color="000000"/>
              <w:left w:sz="0" w:val="nil"/>
              <w:right w:sz="0"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Survived (n=203)</w:t>
            </w:r>
          </w:p>
        </w:tc>
        <w:tc>
          <w:tcPr>
            <w:tcW w:type="dxa" w:w="2160"/>
            <w:tcBorders>
              <w:top w:sz="12" w:val="single" w:color="000000"/>
              <w:bottom w:sz="6" w:val="single" w:color="000000"/>
              <w:left w:sz="0" w:val="nil"/>
              <w:right w:sz="0"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Died (n=96)</w:t>
            </w:r>
          </w:p>
        </w:tc>
        <w:tc>
          <w:tcPr>
            <w:tcW w:type="dxa" w:w="2160"/>
            <w:tcBorders>
              <w:top w:sz="12" w:val="single" w:color="000000"/>
              <w:bottom w:sz="6" w:val="single" w:color="000000"/>
              <w:left w:sz="0" w:val="nil"/>
              <w:right w:sz="0"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p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Patients, n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203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96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nan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Age (years), median [IQR]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60 [50–65]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65 [55–75]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&lt; 0.001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Ejection fraction (%), median [IQR]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38 [35–45]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30 [25–38]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&lt; 0.001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Serum creatinine (mg/dL), median [IQR]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1.00 [0.90–1.20]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1.30 [1.08–1.90]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&lt; 0.001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Serum sodium (mEq/L), median [IQR]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137 [136–140]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136 [133–138]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&lt; 0.001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Platelets (×10³/µL), median [IQR]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263 [220–302]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258 [198–311]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0.426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CPK (mcg/L), median [IQR]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245 [109–582]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259 [129–582]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0.684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Male sex, n (%)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132 (65%)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62 (65%)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1.000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Anaemia, n (%)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83 (41%)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46 (48%)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0.307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Diabetes, n (%)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85 (42%)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40 (42%)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1.000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Hypertension, n (%)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66 (33%)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39 (41%)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0.214</w:t>
            </w:r>
          </w:p>
        </w:tc>
      </w:tr>
      <w:tr>
        <w:tc>
          <w:tcPr>
            <w:tcW w:type="dxa" w:w="2160"/>
            <w:tcBorders>
              <w:bottom w:sz="12" w:val="single" w:color="000000"/>
              <w:left w:sz="0" w:val="nil"/>
              <w:right w:sz="0"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Smoking, n (%)</w:t>
            </w:r>
          </w:p>
        </w:tc>
        <w:tc>
          <w:tcPr>
            <w:tcW w:type="dxa" w:w="2160"/>
            <w:tcBorders>
              <w:bottom w:sz="12" w:val="single" w:color="000000"/>
              <w:left w:sz="0" w:val="nil"/>
              <w:right w:sz="0"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66 (33%)</w:t>
            </w:r>
          </w:p>
        </w:tc>
        <w:tc>
          <w:tcPr>
            <w:tcW w:type="dxa" w:w="2160"/>
            <w:tcBorders>
              <w:bottom w:sz="12" w:val="single" w:color="000000"/>
              <w:left w:sz="0" w:val="nil"/>
              <w:right w:sz="0"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30 (31%)</w:t>
            </w:r>
          </w:p>
        </w:tc>
        <w:tc>
          <w:tcPr>
            <w:tcW w:type="dxa" w:w="2160"/>
            <w:tcBorders>
              <w:bottom w:sz="12" w:val="single" w:color="000000"/>
              <w:left w:sz="0" w:val="nil"/>
              <w:right w:sz="0"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0.932</w:t>
            </w:r>
          </w:p>
        </w:tc>
      </w:tr>
    </w:tbl>
    <w:p>
      <w:r>
        <w:rPr>
          <w:rFonts w:ascii="Times New Roman" w:hAnsi="Times New Roman"/>
          <w:i/>
          <w:sz w:val="18"/>
        </w:rPr>
        <w:t>Continuous: median [IQR], Mann–Whitney U; binary: n (%), chi-square. Data: Chicco &amp; Jurman (2020).</w:t>
      </w:r>
    </w:p>
    <w:p>
      <w:pPr>
        <w:spacing w:after="40"/>
      </w:pPr>
      <w:r>
        <w:rPr>
          <w:b/>
          <w:color w:val="1F4E79"/>
          <w:sz w:val="20"/>
        </w:rPr>
        <w:t xml:space="preserve">Claim: </w:t>
      </w:r>
      <w:r>
        <w:rPr>
          <w:sz w:val="20"/>
        </w:rPr>
        <w:t>Cohort description and univariable differences.</w:t>
      </w:r>
    </w:p>
    <w:p>
      <w:pPr>
        <w:spacing w:after="40"/>
      </w:pPr>
      <w:r>
        <w:rPr>
          <w:b/>
          <w:color w:val="1F4E79"/>
          <w:sz w:val="20"/>
        </w:rPr>
        <w:t xml:space="preserve">Caption: </w:t>
      </w:r>
    </w:p>
    <w:p>
      <w:pPr>
        <w:spacing w:after="40"/>
      </w:pPr>
      <w:r>
        <w:rPr>
          <w:b/>
          <w:color w:val="1F4E79"/>
          <w:sz w:val="20"/>
        </w:rPr>
        <w:t>Annotations</w:t>
      </w:r>
    </w:p>
    <w:p>
      <w:pPr>
        <w:pStyle w:val="ListBullet"/>
        <w:spacing w:after="20"/>
      </w:pPr>
      <w:r>
        <w:rPr>
          <w:b/>
          <w:sz w:val="20"/>
        </w:rPr>
        <w:t xml:space="preserve">Continuous: </w:t>
      </w:r>
      <w:r>
        <w:rPr>
          <w:sz w:val="20"/>
        </w:rPr>
        <w:t>median [IQR]</w:t>
      </w:r>
    </w:p>
    <w:p>
      <w:pPr>
        <w:pStyle w:val="ListBullet"/>
        <w:spacing w:after="20"/>
      </w:pPr>
      <w:r>
        <w:rPr>
          <w:b/>
          <w:sz w:val="20"/>
        </w:rPr>
        <w:t xml:space="preserve">Binary: </w:t>
      </w:r>
      <w:r>
        <w:rPr>
          <w:sz w:val="20"/>
        </w:rPr>
        <w:t>n (%)</w:t>
      </w:r>
    </w:p>
    <w:p>
      <w:pPr>
        <w:pStyle w:val="ListBullet"/>
        <w:spacing w:after="20"/>
      </w:pPr>
      <w:r>
        <w:rPr>
          <w:b/>
          <w:sz w:val="20"/>
        </w:rPr>
        <w:t xml:space="preserve">p: </w:t>
      </w:r>
      <w:r>
        <w:rPr>
          <w:sz w:val="20"/>
        </w:rPr>
        <w:t>univariable, unadjusted for follow-up</w:t>
      </w:r>
    </w:p>
    <w:p>
      <w:pPr>
        <w:spacing w:after="40"/>
      </w:pPr>
      <w:r>
        <w:rPr>
          <w:b/>
          <w:color w:val="1F4E79"/>
          <w:sz w:val="20"/>
        </w:rPr>
        <w:t xml:space="preserve">Citation location: </w:t>
      </w:r>
      <w:r>
        <w:rPr>
          <w:sz w:val="20"/>
        </w:rPr>
        <w:t>Results, opening: "Baseline characteristics are summarized in Table 1."</w:t>
      </w:r>
    </w:p>
    <w:p>
      <w:pPr>
        <w:spacing w:after="40"/>
      </w:pPr>
      <w:r>
        <w:rPr>
          <w:b/>
          <w:color w:val="1F4E79"/>
          <w:sz w:val="20"/>
        </w:rPr>
        <w:t xml:space="preserve">Reproducibility: </w:t>
      </w:r>
      <w:r>
        <w:rPr>
          <w:sz w:val="20"/>
        </w:rPr>
        <w:t>scripts/make_table1_baseline.py</w:t>
      </w:r>
    </w:p>
    <w:p>
      <w:pPr>
        <w:spacing w:before="280" w:after="80"/>
      </w:pPr>
      <w:r>
        <w:rPr>
          <w:b/>
          <w:color w:val="1F4E79"/>
          <w:sz w:val="26"/>
        </w:rPr>
        <w:t>Table 2 — Multivariable Cox model</w:t>
      </w:r>
    </w:p>
    <w:p>
      <w:r>
        <w:rPr>
          <w:rFonts w:ascii="Times New Roman" w:hAnsi="Times New Roman"/>
          <w:b/>
          <w:sz w:val="20"/>
        </w:rPr>
        <w:t>Table 2. Multivariable Cox proportional-hazards model for mortality.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sz="12" w:val="single" w:color="000000"/>
              <w:bottom w:sz="6" w:val="single" w:color="000000"/>
              <w:left w:sz="0" w:val="nil"/>
              <w:right w:sz="0"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Predictor</w:t>
            </w:r>
          </w:p>
        </w:tc>
        <w:tc>
          <w:tcPr>
            <w:tcW w:type="dxa" w:w="2880"/>
            <w:tcBorders>
              <w:top w:sz="12" w:val="single" w:color="000000"/>
              <w:bottom w:sz="6" w:val="single" w:color="000000"/>
              <w:left w:sz="0" w:val="nil"/>
              <w:right w:sz="0"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HR [95% CI]</w:t>
            </w:r>
          </w:p>
        </w:tc>
        <w:tc>
          <w:tcPr>
            <w:tcW w:type="dxa" w:w="2880"/>
            <w:tcBorders>
              <w:top w:sz="12" w:val="single" w:color="000000"/>
              <w:bottom w:sz="6" w:val="single" w:color="000000"/>
              <w:left w:sz="0" w:val="nil"/>
              <w:right w:sz="0"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p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Age (per SD)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1.74 [1.40, 2.16]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&lt; 0.001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Ejection fraction (per SD)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0.56 [0.44, 0.71]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&lt; 0.001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Serum creatinine (per SD)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1.39 [1.21, 1.61]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&lt; 0.001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Serum sodium (per SD)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0.82 [0.67, 1.01]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0.058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Platelets (per SD)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0.96 [0.77, 1.19]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0.681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CPK (per SD)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1.24 [1.03, 1.50]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0.026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Male sex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0.79 [0.48, 1.29]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0.345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Anaemia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1.58 [1.04, 2.42]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0.034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Diabetes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1.15 [0.74, 1.78]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0.531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Hypertension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1.61 [1.05, 2.46]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0.028</w:t>
            </w:r>
          </w:p>
        </w:tc>
      </w:tr>
      <w:tr>
        <w:tc>
          <w:tcPr>
            <w:tcW w:type="dxa" w:w="2880"/>
            <w:tcBorders>
              <w:bottom w:sz="12" w:val="single" w:color="000000"/>
              <w:left w:sz="0" w:val="nil"/>
              <w:right w:sz="0"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Smoking</w:t>
            </w:r>
          </w:p>
        </w:tc>
        <w:tc>
          <w:tcPr>
            <w:tcW w:type="dxa" w:w="2880"/>
            <w:tcBorders>
              <w:bottom w:sz="12" w:val="single" w:color="000000"/>
              <w:left w:sz="0" w:val="nil"/>
              <w:right w:sz="0"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1.14 [0.70, 1.86]</w:t>
            </w:r>
          </w:p>
        </w:tc>
        <w:tc>
          <w:tcPr>
            <w:tcW w:type="dxa" w:w="2880"/>
            <w:tcBorders>
              <w:bottom w:sz="12" w:val="single" w:color="000000"/>
              <w:left w:sz="0" w:val="nil"/>
              <w:right w:sz="0"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0.608</w:t>
            </w:r>
          </w:p>
        </w:tc>
      </w:tr>
    </w:tbl>
    <w:p>
      <w:r>
        <w:rPr>
          <w:rFonts w:ascii="Times New Roman" w:hAnsi="Times New Roman"/>
          <w:i/>
          <w:sz w:val="18"/>
        </w:rPr>
        <w:t>HR with 95% CI; continuous predictors standardized (per 1 SD). C-index = 0.74; n=299, events=96. Data: Chicco &amp; Jurman (2020).</w:t>
      </w:r>
    </w:p>
    <w:p>
      <w:pPr>
        <w:spacing w:after="40"/>
      </w:pPr>
      <w:r>
        <w:rPr>
          <w:b/>
          <w:color w:val="1F4E79"/>
          <w:sz w:val="20"/>
        </w:rPr>
        <w:t xml:space="preserve">Claim: </w:t>
      </w:r>
      <w:r>
        <w:rPr>
          <w:sz w:val="20"/>
        </w:rPr>
        <w:t>Exact adjusted hazard ratios behind Fig. 4.</w:t>
      </w:r>
    </w:p>
    <w:p>
      <w:pPr>
        <w:spacing w:after="40"/>
      </w:pPr>
      <w:r>
        <w:rPr>
          <w:b/>
          <w:color w:val="1F4E79"/>
          <w:sz w:val="20"/>
        </w:rPr>
        <w:t xml:space="preserve">Caption: </w:t>
      </w:r>
    </w:p>
    <w:p>
      <w:pPr>
        <w:spacing w:after="40"/>
      </w:pPr>
      <w:r>
        <w:rPr>
          <w:b/>
          <w:color w:val="1F4E79"/>
          <w:sz w:val="20"/>
        </w:rPr>
        <w:t>Annotations</w:t>
      </w:r>
    </w:p>
    <w:p>
      <w:pPr>
        <w:pStyle w:val="ListBullet"/>
        <w:spacing w:after="20"/>
      </w:pPr>
      <w:r>
        <w:rPr>
          <w:b/>
          <w:sz w:val="20"/>
        </w:rPr>
        <w:t xml:space="preserve">Model: </w:t>
      </w:r>
      <w:r>
        <w:rPr>
          <w:sz w:val="20"/>
        </w:rPr>
        <w:t>all covariates jointly</w:t>
      </w:r>
    </w:p>
    <w:p>
      <w:pPr>
        <w:pStyle w:val="ListBullet"/>
        <w:spacing w:after="20"/>
      </w:pPr>
      <w:r>
        <w:rPr>
          <w:b/>
          <w:sz w:val="20"/>
        </w:rPr>
        <w:t xml:space="preserve">Continuous: </w:t>
      </w:r>
      <w:r>
        <w:rPr>
          <w:sz w:val="20"/>
        </w:rPr>
        <w:t>per 1 SD</w:t>
      </w:r>
    </w:p>
    <w:p>
      <w:pPr>
        <w:pStyle w:val="ListBullet"/>
        <w:spacing w:after="20"/>
      </w:pPr>
      <w:r>
        <w:rPr>
          <w:b/>
          <w:sz w:val="20"/>
        </w:rPr>
        <w:t xml:space="preserve">Fit: </w:t>
      </w:r>
      <w:r>
        <w:rPr>
          <w:sz w:val="20"/>
        </w:rPr>
        <w:t>C-index reported</w:t>
      </w:r>
    </w:p>
    <w:p>
      <w:pPr>
        <w:spacing w:after="40"/>
      </w:pPr>
      <w:r>
        <w:rPr>
          <w:b/>
          <w:color w:val="1F4E79"/>
          <w:sz w:val="20"/>
        </w:rPr>
        <w:t xml:space="preserve">Citation location: </w:t>
      </w:r>
      <w:r>
        <w:rPr>
          <w:sz w:val="20"/>
        </w:rPr>
        <w:t>Results, adjusted analysis: exact HRs cited alongside Fig. 4.</w:t>
      </w:r>
    </w:p>
    <w:p>
      <w:pPr>
        <w:spacing w:after="40"/>
      </w:pPr>
      <w:r>
        <w:rPr>
          <w:b/>
          <w:color w:val="1F4E79"/>
          <w:sz w:val="20"/>
        </w:rPr>
        <w:t xml:space="preserve">Reproducibility: </w:t>
      </w:r>
      <w:r>
        <w:rPr>
          <w:sz w:val="20"/>
        </w:rPr>
        <w:t>scripts/make_table2_cox.py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