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F4E79"/>
          <w:sz w:val="36"/>
        </w:rPr>
        <w:t>图表报告</w:t>
      </w:r>
    </w:p>
    <w:p>
      <w:pPr>
        <w:spacing w:before="0" w:after="160"/>
      </w:pPr>
      <w:r>
        <w:rPr>
          <w:b w:val="0"/>
          <w:sz w:val="24"/>
        </w:rPr>
        <w:t>心衰生存分析 — paper-figures 案例</w:t>
      </w:r>
    </w:p>
    <w:p>
      <w:pPr>
        <w:spacing w:after="40"/>
      </w:pPr>
      <w:r>
        <w:rPr>
          <w:b/>
          <w:color w:val="1F4E79"/>
          <w:sz w:val="20"/>
        </w:rPr>
        <w:t xml:space="preserve">来源论文: </w:t>
      </w:r>
      <w:r>
        <w:rPr>
          <w:sz w:val="20"/>
        </w:rPr>
        <w:t>Chicco &amp; Jurman (2020),BMC Med Inform Decis Mak 20:16(CC BY 4.0)</w:t>
      </w:r>
    </w:p>
    <w:p>
      <w:pPr>
        <w:spacing w:after="40"/>
      </w:pPr>
      <w:r>
        <w:rPr>
          <w:b/>
          <w:color w:val="1F4E79"/>
          <w:sz w:val="20"/>
        </w:rPr>
        <w:t xml:space="preserve">数据: </w:t>
      </w:r>
      <w:r>
        <w:rPr>
          <w:sz w:val="20"/>
        </w:rPr>
        <w:t>UCI 数据集 519(CC BY 4.0);299 例患者,96 例死亡(32%),随访中位 115 天</w:t>
      </w:r>
    </w:p>
    <w:p>
      <w:pPr>
        <w:spacing w:after="40"/>
      </w:pPr>
      <w:r>
        <w:rPr>
          <w:b/>
          <w:color w:val="1F4E79"/>
          <w:sz w:val="20"/>
        </w:rPr>
        <w:t xml:space="preserve">预设: </w:t>
      </w:r>
      <w:r>
        <w:rPr>
          <w:sz w:val="20"/>
        </w:rPr>
        <w:t>generic 高质量预设</w:t>
      </w:r>
    </w:p>
    <w:p>
      <w:pPr>
        <w:spacing w:after="40"/>
      </w:pPr>
      <w:r>
        <w:rPr>
          <w:b/>
          <w:color w:val="1F4E79"/>
          <w:sz w:val="20"/>
        </w:rPr>
        <w:t xml:space="preserve">生成: </w:t>
      </w:r>
      <w:r>
        <w:rPr>
          <w:sz w:val="20"/>
        </w:rPr>
        <w:t>paper-figures 技能 — lifelines / scikit-learn,种子 = 0</w:t>
      </w:r>
    </w:p>
    <w:p>
      <w:pPr>
        <w:spacing w:before="240" w:after="80"/>
      </w:pPr>
      <w:r>
        <w:rPr>
          <w:b/>
          <w:sz w:val="24"/>
        </w:rPr>
        <w:t>图表清单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Fig1.png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事件在长短不一的随访期内发生 → 需采用生存分析。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Fig2.png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射血分数降低的患者生存明显更差。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Fig3.png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死亡者射血分数更低、血清肌酐更高。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Fig4.png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年龄、低射血分数与高肌酐独立升高死亡风险。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Fig5.png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预测因子相关较弱——共线性低。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Fig6.png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血清肌酐+射血分数预测死亡几乎与全部特征一样好。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表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Table1.csv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队列描述与单因素差异。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表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Table2.csv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图 4 背后的精确校正风险比。</w:t>
            </w:r>
          </w:p>
        </w:tc>
      </w:tr>
    </w:tbl>
    <w:p>
      <w:pPr>
        <w:spacing w:before="280" w:after="80"/>
      </w:pPr>
      <w:r>
        <w:rPr>
          <w:b/>
          <w:color w:val="1F4E79"/>
          <w:sz w:val="26"/>
        </w:rPr>
        <w:t>图 1 — 队列概览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9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>论证:</w:t>
      </w:r>
      <w:r>
        <w:rPr>
          <w:sz w:val="20"/>
        </w:rPr>
        <w:t>事件在长短不一的随访期内发生 → 需采用生存分析。</w:t>
      </w:r>
    </w:p>
    <w:p>
      <w:pPr>
        <w:spacing w:after="40"/>
      </w:pPr>
      <w:r>
        <w:rPr>
          <w:b/>
          <w:color w:val="1F4E79"/>
          <w:sz w:val="20"/>
        </w:rPr>
        <w:t>图注:</w:t>
      </w:r>
      <w:r>
        <w:rPr>
          <w:sz w:val="20"/>
        </w:rPr>
        <w:t>图 1。研究队列(n=299;96 例死亡)。(A)年龄分布按结局。(B)随访时间按结局(箱体=中位数+四分位距,散点=患者)。随访长短不一,故采用时间-事件分析。</w:t>
      </w:r>
    </w:p>
    <w:p>
      <w:pPr>
        <w:spacing w:after="40"/>
      </w:pPr>
      <w:r>
        <w:rPr>
          <w:b/>
          <w:color w:val="1F4E79"/>
          <w:sz w:val="20"/>
        </w:rPr>
        <w:t>标注</w:t>
      </w:r>
    </w:p>
    <w:p>
      <w:pPr>
        <w:pStyle w:val="ListBullet"/>
        <w:spacing w:after="20"/>
      </w:pPr>
      <w:r>
        <w:rPr>
          <w:b/>
          <w:sz w:val="20"/>
        </w:rPr>
        <w:t xml:space="preserve">A: </w:t>
      </w:r>
      <w:r>
        <w:rPr>
          <w:sz w:val="20"/>
        </w:rPr>
        <w:t>叠加直方图</w:t>
      </w:r>
    </w:p>
    <w:p>
      <w:pPr>
        <w:pStyle w:val="ListBullet"/>
        <w:spacing w:after="20"/>
      </w:pPr>
      <w:r>
        <w:rPr>
          <w:b/>
          <w:sz w:val="20"/>
        </w:rPr>
        <w:t xml:space="preserve">B: </w:t>
      </w:r>
      <w:r>
        <w:rPr>
          <w:sz w:val="20"/>
        </w:rPr>
        <w:t>箱线+散点</w:t>
      </w:r>
    </w:p>
    <w:p>
      <w:pPr>
        <w:pStyle w:val="ListBullet"/>
        <w:spacing w:after="20"/>
      </w:pPr>
      <w:r>
        <w:rPr>
          <w:b/>
          <w:sz w:val="20"/>
        </w:rPr>
        <w:t xml:space="preserve">颜色: </w:t>
      </w:r>
      <w:r>
        <w:rPr>
          <w:sz w:val="20"/>
        </w:rPr>
        <w:t>蓝=生存,橙=死亡</w:t>
      </w:r>
    </w:p>
    <w:p>
      <w:pPr>
        <w:spacing w:after="40"/>
      </w:pPr>
      <w:r>
        <w:rPr>
          <w:b/>
          <w:color w:val="1F4E79"/>
          <w:sz w:val="20"/>
        </w:rPr>
        <w:t>引用位置:</w:t>
      </w:r>
      <w:r>
        <w:rPr>
          <w:sz w:val="20"/>
        </w:rPr>
        <w:t>方法/结果,队列描述:"299 例中 96 例(32%)在中位 115 天随访内死亡(图 1)。"</w:t>
      </w:r>
    </w:p>
    <w:p>
      <w:pPr>
        <w:spacing w:after="40"/>
      </w:pPr>
      <w:r>
        <w:rPr>
          <w:b/>
          <w:color w:val="1F4E79"/>
          <w:sz w:val="20"/>
        </w:rPr>
        <w:t>可复现:</w:t>
      </w:r>
      <w:r>
        <w:rPr>
          <w:sz w:val="20"/>
        </w:rPr>
        <w:t>scripts/make_fig1_cohort_overview.py</w:t>
      </w:r>
    </w:p>
    <w:p>
      <w:pPr>
        <w:spacing w:before="280" w:after="80"/>
      </w:pPr>
      <w:r>
        <w:rPr>
          <w:b/>
          <w:color w:val="1F4E79"/>
          <w:sz w:val="26"/>
        </w:rPr>
        <w:t>图 2 — 按射血分数的生存(Kaplan–Meier)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572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7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>论证:</w:t>
      </w:r>
      <w:r>
        <w:rPr>
          <w:sz w:val="20"/>
        </w:rPr>
        <w:t>射血分数降低的患者生存明显更差。</w:t>
      </w:r>
    </w:p>
    <w:p>
      <w:pPr>
        <w:spacing w:after="40"/>
      </w:pPr>
      <w:r>
        <w:rPr>
          <w:b/>
          <w:color w:val="1F4E79"/>
          <w:sz w:val="20"/>
        </w:rPr>
        <w:t>图注:</w:t>
      </w:r>
      <w:r>
        <w:rPr>
          <w:sz w:val="20"/>
        </w:rPr>
        <w:t>图 2。按射血分数分组的 Kaplan–Meier 生存曲线——降低(&lt;30%,n=59)、中间(30–45%,n=160)、保留(≥45%,n=80)——含 95% 置信带及风险/删失/事件数。log-rank p&lt;0.001。</w:t>
      </w:r>
    </w:p>
    <w:p>
      <w:pPr>
        <w:spacing w:after="40"/>
      </w:pPr>
      <w:r>
        <w:rPr>
          <w:b/>
          <w:color w:val="1F4E79"/>
          <w:sz w:val="20"/>
        </w:rPr>
        <w:t>标注</w:t>
      </w:r>
    </w:p>
    <w:p>
      <w:pPr>
        <w:pStyle w:val="ListBullet"/>
        <w:spacing w:after="20"/>
      </w:pPr>
      <w:r>
        <w:rPr>
          <w:b/>
          <w:sz w:val="20"/>
        </w:rPr>
        <w:t xml:space="preserve">分组: </w:t>
      </w:r>
      <w:r>
        <w:rPr>
          <w:sz w:val="20"/>
        </w:rPr>
        <w:t>按临床界值划分的 EF 分层</w:t>
      </w:r>
    </w:p>
    <w:p>
      <w:pPr>
        <w:pStyle w:val="ListBullet"/>
        <w:spacing w:after="20"/>
      </w:pPr>
      <w:r>
        <w:rPr>
          <w:b/>
          <w:sz w:val="20"/>
        </w:rPr>
        <w:t xml:space="preserve">图下方: </w:t>
      </w:r>
      <w:r>
        <w:rPr>
          <w:sz w:val="20"/>
        </w:rPr>
        <w:t>风险/删失/事件数表</w:t>
      </w:r>
    </w:p>
    <w:p>
      <w:pPr>
        <w:pStyle w:val="ListBullet"/>
        <w:spacing w:after="20"/>
      </w:pPr>
      <w:r>
        <w:rPr>
          <w:b/>
          <w:sz w:val="20"/>
        </w:rPr>
        <w:t xml:space="preserve">检验: </w:t>
      </w:r>
      <w:r>
        <w:rPr>
          <w:sz w:val="20"/>
        </w:rPr>
        <w:t>3 组 log-rank</w:t>
      </w:r>
    </w:p>
    <w:p>
      <w:pPr>
        <w:spacing w:after="40"/>
      </w:pPr>
      <w:r>
        <w:rPr>
          <w:b/>
          <w:color w:val="1F4E79"/>
          <w:sz w:val="20"/>
        </w:rPr>
        <w:t>引用位置:</w:t>
      </w:r>
      <w:r>
        <w:rPr>
          <w:sz w:val="20"/>
        </w:rPr>
        <w:t>结果,生存:"射血分数降低与生存率下降相关(图 2)。"</w:t>
      </w:r>
    </w:p>
    <w:p>
      <w:pPr>
        <w:spacing w:after="40"/>
      </w:pPr>
      <w:r>
        <w:rPr>
          <w:b/>
          <w:color w:val="1F4E79"/>
          <w:sz w:val="20"/>
        </w:rPr>
        <w:t>可复现:</w:t>
      </w:r>
      <w:r>
        <w:rPr>
          <w:sz w:val="20"/>
        </w:rPr>
        <w:t>scripts/make_fig2_kaplan_meier.py</w:t>
      </w:r>
    </w:p>
    <w:p>
      <w:pPr>
        <w:spacing w:before="280" w:after="80"/>
      </w:pPr>
      <w:r>
        <w:rPr>
          <w:b/>
          <w:color w:val="1F4E79"/>
          <w:sz w:val="26"/>
        </w:rPr>
        <w:t>图 3 — 关键预测因子按结局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2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>论证:</w:t>
      </w:r>
      <w:r>
        <w:rPr>
          <w:sz w:val="20"/>
        </w:rPr>
        <w:t>死亡者射血分数更低、血清肌酐更高。</w:t>
      </w:r>
    </w:p>
    <w:p>
      <w:pPr>
        <w:spacing w:after="40"/>
      </w:pPr>
      <w:r>
        <w:rPr>
          <w:b/>
          <w:color w:val="1F4E79"/>
          <w:sz w:val="20"/>
        </w:rPr>
        <w:t>图注:</w:t>
      </w:r>
      <w:r>
        <w:rPr>
          <w:sz w:val="20"/>
        </w:rPr>
        <w:t>图 3。两个核心预测因子按结局。(A)射血分数、(B)血清肌酐,生存者与死亡者对比。箱体=中位数+四分位距,散点=患者。Mann–Whitney U;***p&lt;0.001。</w:t>
      </w:r>
    </w:p>
    <w:p>
      <w:pPr>
        <w:spacing w:after="40"/>
      </w:pPr>
      <w:r>
        <w:rPr>
          <w:b/>
          <w:color w:val="1F4E79"/>
          <w:sz w:val="20"/>
        </w:rPr>
        <w:t>标注</w:t>
      </w:r>
    </w:p>
    <w:p>
      <w:pPr>
        <w:pStyle w:val="ListBullet"/>
        <w:spacing w:after="20"/>
      </w:pPr>
      <w:r>
        <w:rPr>
          <w:b/>
          <w:sz w:val="20"/>
        </w:rPr>
        <w:t xml:space="preserve">检验: </w:t>
      </w:r>
      <w:r>
        <w:rPr>
          <w:sz w:val="20"/>
        </w:rPr>
        <w:t>Mann–Whitney U(肌酐右偏)</w:t>
      </w:r>
    </w:p>
    <w:p>
      <w:pPr>
        <w:pStyle w:val="ListBullet"/>
        <w:spacing w:after="20"/>
      </w:pPr>
      <w:r>
        <w:rPr>
          <w:b/>
          <w:sz w:val="20"/>
        </w:rPr>
        <w:t xml:space="preserve">标记: </w:t>
      </w:r>
      <w:r>
        <w:rPr>
          <w:sz w:val="20"/>
        </w:rPr>
        <w:t>***p&lt;0.001</w:t>
      </w:r>
    </w:p>
    <w:p>
      <w:pPr>
        <w:spacing w:after="40"/>
      </w:pPr>
      <w:r>
        <w:rPr>
          <w:b/>
          <w:color w:val="1F4E79"/>
          <w:sz w:val="20"/>
        </w:rPr>
        <w:t>引用位置:</w:t>
      </w:r>
      <w:r>
        <w:rPr>
          <w:sz w:val="20"/>
        </w:rPr>
        <w:t>结果,单因素:"死亡者射血分数更低、肌酐更高(图 3;表 1)。"</w:t>
      </w:r>
    </w:p>
    <w:p>
      <w:pPr>
        <w:spacing w:after="40"/>
      </w:pPr>
      <w:r>
        <w:rPr>
          <w:b/>
          <w:color w:val="1F4E79"/>
          <w:sz w:val="20"/>
        </w:rPr>
        <w:t>可复现:</w:t>
      </w:r>
      <w:r>
        <w:rPr>
          <w:sz w:val="20"/>
        </w:rPr>
        <w:t>scripts/make_fig3_predictors_boxplot.py</w:t>
      </w:r>
    </w:p>
    <w:p>
      <w:pPr>
        <w:spacing w:before="280" w:after="80"/>
      </w:pPr>
      <w:r>
        <w:rPr>
          <w:b/>
          <w:color w:val="1F4E79"/>
          <w:sz w:val="26"/>
        </w:rPr>
        <w:t>图 4 — 多因素 Cox 模型(森林图)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322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22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>论证:</w:t>
      </w:r>
      <w:r>
        <w:rPr>
          <w:sz w:val="20"/>
        </w:rPr>
        <w:t>年龄、低射血分数与高肌酐独立升高死亡风险。</w:t>
      </w:r>
    </w:p>
    <w:p>
      <w:pPr>
        <w:spacing w:after="40"/>
      </w:pPr>
      <w:r>
        <w:rPr>
          <w:b/>
          <w:color w:val="1F4E79"/>
          <w:sz w:val="20"/>
        </w:rPr>
        <w:t>图注:</w:t>
      </w:r>
      <w:r>
        <w:rPr>
          <w:sz w:val="20"/>
        </w:rPr>
        <w:t>图 4。多因素 Cox 模型的风险比(95% CI;对数坐标,参考 HR=1)。连续变量标准化(HR 为每 1 SD);彩色为 p&lt;0.05。年龄(1.74)、肌酐(1.39)、CPK(1.24)、贫血(1.58)、高血压(1.61)升高风险;射血分数(0.56)降低风险。一致性指数=0.74。</w:t>
      </w:r>
    </w:p>
    <w:p>
      <w:pPr>
        <w:spacing w:after="40"/>
      </w:pPr>
      <w:r>
        <w:rPr>
          <w:b/>
          <w:color w:val="1F4E79"/>
          <w:sz w:val="20"/>
        </w:rPr>
        <w:t>标注</w:t>
      </w:r>
    </w:p>
    <w:p>
      <w:pPr>
        <w:pStyle w:val="ListBullet"/>
        <w:spacing w:after="20"/>
      </w:pPr>
      <w:r>
        <w:rPr>
          <w:b/>
          <w:sz w:val="20"/>
        </w:rPr>
        <w:t xml:space="preserve">坐标: </w:t>
      </w:r>
      <w:r>
        <w:rPr>
          <w:sz w:val="20"/>
        </w:rPr>
        <w:t>对数 HR,参考线在 1</w:t>
      </w:r>
    </w:p>
    <w:p>
      <w:pPr>
        <w:pStyle w:val="ListBullet"/>
        <w:spacing w:after="20"/>
      </w:pPr>
      <w:r>
        <w:rPr>
          <w:b/>
          <w:sz w:val="20"/>
        </w:rPr>
        <w:t xml:space="preserve">连续变量: </w:t>
      </w:r>
      <w:r>
        <w:rPr>
          <w:sz w:val="20"/>
        </w:rPr>
        <w:t>标准化 → 每 1 SD</w:t>
      </w:r>
    </w:p>
    <w:p>
      <w:pPr>
        <w:pStyle w:val="ListBullet"/>
        <w:spacing w:after="20"/>
      </w:pPr>
      <w:r>
        <w:rPr>
          <w:b/>
          <w:sz w:val="20"/>
        </w:rPr>
        <w:t xml:space="preserve">高亮: </w:t>
      </w:r>
      <w:r>
        <w:rPr>
          <w:sz w:val="20"/>
        </w:rPr>
        <w:t>显著预测因子着色</w:t>
      </w:r>
    </w:p>
    <w:p>
      <w:pPr>
        <w:spacing w:after="40"/>
      </w:pPr>
      <w:r>
        <w:rPr>
          <w:b/>
          <w:color w:val="1F4E79"/>
          <w:sz w:val="20"/>
        </w:rPr>
        <w:t>引用位置:</w:t>
      </w:r>
      <w:r>
        <w:rPr>
          <w:sz w:val="20"/>
        </w:rPr>
        <w:t>结果,校正分析:"射血分数、肌酐与年龄为独立预测因子(图 4;表 2)。"</w:t>
      </w:r>
    </w:p>
    <w:p>
      <w:pPr>
        <w:spacing w:after="40"/>
      </w:pPr>
      <w:r>
        <w:rPr>
          <w:b/>
          <w:color w:val="1F4E79"/>
          <w:sz w:val="20"/>
        </w:rPr>
        <w:t>可复现:</w:t>
      </w:r>
      <w:r>
        <w:rPr>
          <w:sz w:val="20"/>
        </w:rPr>
        <w:t>scripts/make_fig4_cox_forest.py</w:t>
      </w:r>
    </w:p>
    <w:p>
      <w:pPr>
        <w:spacing w:before="280" w:after="80"/>
      </w:pPr>
      <w:r>
        <w:rPr>
          <w:b/>
          <w:color w:val="1F4E79"/>
          <w:sz w:val="26"/>
        </w:rPr>
        <w:t>图 5 — 预测因子间相关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045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4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>论证:</w:t>
      </w:r>
      <w:r>
        <w:rPr>
          <w:sz w:val="20"/>
        </w:rPr>
        <w:t>预测因子相关较弱——共线性低。</w:t>
      </w:r>
    </w:p>
    <w:p>
      <w:pPr>
        <w:spacing w:after="40"/>
      </w:pPr>
      <w:r>
        <w:rPr>
          <w:b/>
          <w:color w:val="1F4E79"/>
          <w:sz w:val="20"/>
        </w:rPr>
        <w:t>图注:</w:t>
      </w:r>
      <w:r>
        <w:rPr>
          <w:sz w:val="20"/>
        </w:rPr>
        <w:t>图 5。连续变量间的 Spearman 相关(发散色标以 ρ=0 为中心,标注 ρ)。相关普遍较弱(|ρ|≤0.30),表明 Cox 模型无明显共线性。</w:t>
      </w:r>
    </w:p>
    <w:p>
      <w:pPr>
        <w:spacing w:after="40"/>
      </w:pPr>
      <w:r>
        <w:rPr>
          <w:b/>
          <w:color w:val="1F4E79"/>
          <w:sz w:val="20"/>
        </w:rPr>
        <w:t>标注</w:t>
      </w:r>
    </w:p>
    <w:p>
      <w:pPr>
        <w:pStyle w:val="ListBullet"/>
        <w:spacing w:after="20"/>
      </w:pPr>
      <w:r>
        <w:rPr>
          <w:b/>
          <w:sz w:val="20"/>
        </w:rPr>
        <w:t xml:space="preserve">方法: </w:t>
      </w:r>
      <w:r>
        <w:rPr>
          <w:sz w:val="20"/>
        </w:rPr>
        <w:t>Spearman(抗偏态)</w:t>
      </w:r>
    </w:p>
    <w:p>
      <w:pPr>
        <w:pStyle w:val="ListBullet"/>
        <w:spacing w:after="20"/>
      </w:pPr>
      <w:r>
        <w:rPr>
          <w:b/>
          <w:sz w:val="20"/>
        </w:rPr>
        <w:t xml:space="preserve">色标: </w:t>
      </w:r>
      <w:r>
        <w:rPr>
          <w:sz w:val="20"/>
        </w:rPr>
        <w:t>发散,居中于 0</w:t>
      </w:r>
    </w:p>
    <w:p>
      <w:pPr>
        <w:spacing w:after="40"/>
      </w:pPr>
      <w:r>
        <w:rPr>
          <w:b/>
          <w:color w:val="1F4E79"/>
          <w:sz w:val="20"/>
        </w:rPr>
        <w:t>引用位置:</w:t>
      </w:r>
      <w:r>
        <w:rPr>
          <w:sz w:val="20"/>
        </w:rPr>
        <w:t>结果,模型诊断:"预测因子相关较弱,提示无共线性(图 5)。"</w:t>
      </w:r>
    </w:p>
    <w:p>
      <w:pPr>
        <w:spacing w:after="40"/>
      </w:pPr>
      <w:r>
        <w:rPr>
          <w:b/>
          <w:color w:val="1F4E79"/>
          <w:sz w:val="20"/>
        </w:rPr>
        <w:t>可复现:</w:t>
      </w:r>
      <w:r>
        <w:rPr>
          <w:sz w:val="20"/>
        </w:rPr>
        <w:t>scripts/make_fig5_correlation.py</w:t>
      </w:r>
    </w:p>
    <w:p>
      <w:pPr>
        <w:spacing w:before="280" w:after="80"/>
      </w:pPr>
      <w:r>
        <w:rPr>
          <w:b/>
          <w:color w:val="1F4E79"/>
          <w:sz w:val="26"/>
        </w:rPr>
        <w:t>图 6 — 两特征 vs 全特征(ROC)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529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52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F4E79"/>
          <w:sz w:val="20"/>
        </w:rPr>
        <w:t>论证:</w:t>
      </w:r>
      <w:r>
        <w:rPr>
          <w:sz w:val="20"/>
        </w:rPr>
        <w:t>血清肌酐+射血分数预测死亡几乎与全部特征一样好。</w:t>
      </w:r>
    </w:p>
    <w:p>
      <w:pPr>
        <w:spacing w:after="40"/>
      </w:pPr>
      <w:r>
        <w:rPr>
          <w:b/>
          <w:color w:val="1F4E79"/>
          <w:sz w:val="20"/>
        </w:rPr>
        <w:t>图注:</w:t>
      </w:r>
      <w:r>
        <w:rPr>
          <w:sz w:val="20"/>
        </w:rPr>
        <w:t>图 6。预测院内死亡的 ROC(Logistic 回归,5 折交叉验证)。仅用肌酐+射血分数(AUC=0.75)几乎与全特征模型(AUC=0.76)持平。已排除随访时间以防泄漏。</w:t>
      </w:r>
    </w:p>
    <w:p>
      <w:pPr>
        <w:spacing w:after="40"/>
      </w:pPr>
      <w:r>
        <w:rPr>
          <w:b/>
          <w:color w:val="1F4E79"/>
          <w:sz w:val="20"/>
        </w:rPr>
        <w:t>标注</w:t>
      </w:r>
    </w:p>
    <w:p>
      <w:pPr>
        <w:pStyle w:val="ListBullet"/>
        <w:spacing w:after="20"/>
      </w:pPr>
      <w:r>
        <w:rPr>
          <w:b/>
          <w:sz w:val="20"/>
        </w:rPr>
        <w:t xml:space="preserve">验证: </w:t>
      </w:r>
      <w:r>
        <w:rPr>
          <w:sz w:val="20"/>
        </w:rPr>
        <w:t>交叉验证 AUC,非样本内</w:t>
      </w:r>
    </w:p>
    <w:p>
      <w:pPr>
        <w:pStyle w:val="ListBullet"/>
        <w:spacing w:after="20"/>
      </w:pPr>
      <w:r>
        <w:rPr>
          <w:b/>
          <w:sz w:val="20"/>
        </w:rPr>
        <w:t xml:space="preserve">防泄漏: </w:t>
      </w:r>
      <w:r>
        <w:rPr>
          <w:sz w:val="20"/>
        </w:rPr>
        <w:t>排除 `time` 作为预测因子</w:t>
      </w:r>
    </w:p>
    <w:p>
      <w:pPr>
        <w:pStyle w:val="ListBullet"/>
        <w:spacing w:after="20"/>
      </w:pPr>
      <w:r>
        <w:rPr>
          <w:b/>
          <w:sz w:val="20"/>
        </w:rPr>
        <w:t xml:space="preserve">对角线: </w:t>
      </w:r>
      <w:r>
        <w:rPr>
          <w:sz w:val="20"/>
        </w:rPr>
        <w:t>随机参考线</w:t>
      </w:r>
    </w:p>
    <w:p>
      <w:pPr>
        <w:spacing w:after="40"/>
      </w:pPr>
      <w:r>
        <w:rPr>
          <w:b/>
          <w:color w:val="1F4E79"/>
          <w:sz w:val="20"/>
        </w:rPr>
        <w:t>引用位置:</w:t>
      </w:r>
      <w:r>
        <w:rPr>
          <w:sz w:val="20"/>
        </w:rPr>
        <w:t>讨论,简约性:"两个特征再现了全模型的大部分判别力(图 6)。"</w:t>
      </w:r>
    </w:p>
    <w:p>
      <w:pPr>
        <w:spacing w:after="40"/>
      </w:pPr>
      <w:r>
        <w:rPr>
          <w:b/>
          <w:color w:val="1F4E79"/>
          <w:sz w:val="20"/>
        </w:rPr>
        <w:t>可复现:</w:t>
      </w:r>
      <w:r>
        <w:rPr>
          <w:sz w:val="20"/>
        </w:rPr>
        <w:t>scripts/make_fig6_roc.py</w:t>
      </w:r>
    </w:p>
    <w:p>
      <w:pPr>
        <w:spacing w:before="280" w:after="80"/>
      </w:pPr>
      <w:r>
        <w:rPr>
          <w:b/>
          <w:color w:val="1F4E79"/>
          <w:sz w:val="26"/>
        </w:rPr>
        <w:t>表 1 — 基线特征</w:t>
      </w:r>
    </w:p>
    <w:p>
      <w:r>
        <w:rPr>
          <w:rFonts w:ascii="Times New Roman" w:hAnsi="Times New Roman"/>
          <w:b/>
          <w:sz w:val="20"/>
        </w:rPr>
        <w:t>表 1。按生存状态的基线特征。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Characteristic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Survived (n=203)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Died (n=96)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Patients, 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nan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 (years),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 [50–65]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 [55–75]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Ejection fraction (%),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 [35–45]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 [25–38]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creatinine (mg/dL),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 [0.90–1.20]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1.30 [1.08–1.90]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sodium (mEq/L),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137 [136–140]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136 [133–138]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Platelets (×10³/µL),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263 [220–302]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258 [198–311]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0.426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CPK (mcg/L),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245 [109–582]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259 [129–582]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Male sex,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132 (65%)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 (65%)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Anaemia,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83 (41%)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 (48%)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Diabetes,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 (42%)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 (42%)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Hypertension,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 (33%)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 (41%)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0.214</w:t>
            </w:r>
          </w:p>
        </w:tc>
      </w:tr>
      <w:tr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Smoking, n (%)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 (33%)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 (31%)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0.932</w:t>
            </w:r>
          </w:p>
        </w:tc>
      </w:tr>
    </w:tbl>
    <w:p>
      <w:r>
        <w:rPr>
          <w:rFonts w:ascii="Times New Roman" w:hAnsi="Times New Roman"/>
          <w:i/>
          <w:sz w:val="18"/>
        </w:rPr>
        <w:t>连续变量:中位数 [四分位距],Mann–Whitney U;二分类:n (%),卡方检验。数据:Chicco &amp; Jurman (2020)。</w:t>
      </w:r>
    </w:p>
    <w:p>
      <w:pPr>
        <w:spacing w:after="40"/>
      </w:pPr>
      <w:r>
        <w:rPr>
          <w:b/>
          <w:color w:val="1F4E79"/>
          <w:sz w:val="20"/>
        </w:rPr>
        <w:t>论证:</w:t>
      </w:r>
      <w:r>
        <w:rPr>
          <w:sz w:val="20"/>
        </w:rPr>
        <w:t>队列描述与单因素差异。</w:t>
      </w:r>
    </w:p>
    <w:p>
      <w:pPr>
        <w:spacing w:after="40"/>
      </w:pPr>
      <w:r>
        <w:rPr>
          <w:b/>
          <w:color w:val="1F4E79"/>
          <w:sz w:val="20"/>
        </w:rPr>
        <w:t>图注:</w:t>
      </w:r>
    </w:p>
    <w:p>
      <w:pPr>
        <w:spacing w:after="40"/>
      </w:pPr>
      <w:r>
        <w:rPr>
          <w:b/>
          <w:color w:val="1F4E79"/>
          <w:sz w:val="20"/>
        </w:rPr>
        <w:t>标注</w:t>
      </w:r>
    </w:p>
    <w:p>
      <w:pPr>
        <w:pStyle w:val="ListBullet"/>
        <w:spacing w:after="20"/>
      </w:pPr>
      <w:r>
        <w:rPr>
          <w:b/>
          <w:sz w:val="20"/>
        </w:rPr>
        <w:t xml:space="preserve">连续变量: </w:t>
      </w:r>
      <w:r>
        <w:rPr>
          <w:sz w:val="20"/>
        </w:rPr>
        <w:t>中位数 [四分位距]</w:t>
      </w:r>
    </w:p>
    <w:p>
      <w:pPr>
        <w:pStyle w:val="ListBullet"/>
        <w:spacing w:after="20"/>
      </w:pPr>
      <w:r>
        <w:rPr>
          <w:b/>
          <w:sz w:val="20"/>
        </w:rPr>
        <w:t xml:space="preserve">二分类: </w:t>
      </w:r>
      <w:r>
        <w:rPr>
          <w:sz w:val="20"/>
        </w:rPr>
        <w:t>n (%)</w:t>
      </w:r>
    </w:p>
    <w:p>
      <w:pPr>
        <w:pStyle w:val="ListBullet"/>
        <w:spacing w:after="20"/>
      </w:pPr>
      <w:r>
        <w:rPr>
          <w:b/>
          <w:sz w:val="20"/>
        </w:rPr>
        <w:t xml:space="preserve">p: </w:t>
      </w:r>
      <w:r>
        <w:rPr>
          <w:sz w:val="20"/>
        </w:rPr>
        <w:t>单因素,未校正随访时间</w:t>
      </w:r>
    </w:p>
    <w:p>
      <w:pPr>
        <w:spacing w:after="40"/>
      </w:pPr>
      <w:r>
        <w:rPr>
          <w:b/>
          <w:color w:val="1F4E79"/>
          <w:sz w:val="20"/>
        </w:rPr>
        <w:t>引用位置:</w:t>
      </w:r>
      <w:r>
        <w:rPr>
          <w:sz w:val="20"/>
        </w:rPr>
        <w:t>结果,开头:"基线特征汇总于表 1。"</w:t>
      </w:r>
    </w:p>
    <w:p>
      <w:pPr>
        <w:spacing w:after="40"/>
      </w:pPr>
      <w:r>
        <w:rPr>
          <w:b/>
          <w:color w:val="1F4E79"/>
          <w:sz w:val="20"/>
        </w:rPr>
        <w:t>可复现:</w:t>
      </w:r>
      <w:r>
        <w:rPr>
          <w:sz w:val="20"/>
        </w:rPr>
        <w:t>scripts/make_table1_baseline.py</w:t>
      </w:r>
    </w:p>
    <w:p>
      <w:pPr>
        <w:spacing w:before="280" w:after="80"/>
      </w:pPr>
      <w:r>
        <w:rPr>
          <w:b/>
          <w:color w:val="1F4E79"/>
          <w:sz w:val="26"/>
        </w:rPr>
        <w:t>表 2 — 多因素 Cox 模型</w:t>
      </w:r>
    </w:p>
    <w:p>
      <w:r>
        <w:rPr>
          <w:rFonts w:ascii="Times New Roman" w:hAnsi="Times New Roman"/>
          <w:b/>
          <w:sz w:val="20"/>
        </w:rPr>
        <w:t>表 2。死亡的多因素 Cox 比例风险模型。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Predictor</w:t>
            </w:r>
          </w:p>
        </w:tc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HR [95% CI]</w:t>
            </w:r>
          </w:p>
        </w:tc>
        <w:tc>
          <w:tcPr>
            <w:tcW w:type="dxa" w:w="288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1.74 [1.40, 2.16]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Ejection fraction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0.56 [0.44, 0.71]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creatinine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1.39 [1.21, 1.61]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sodium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0.82 [0.67, 1.01]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Platelets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 [0.77, 1.19]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CPK (per SD)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 [1.03, 1.50]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Male sex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 [0.48, 1.29]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Anaemia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1.58 [1.04, 2.42]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Diabetes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 [0.74, 1.78]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Hypertension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1.61 [1.05, 2.46]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0.028</w:t>
            </w:r>
          </w:p>
        </w:tc>
      </w:tr>
      <w:tr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Smoking</w:t>
            </w:r>
          </w:p>
        </w:tc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1.14 [0.70, 1.86]</w:t>
            </w:r>
          </w:p>
        </w:tc>
        <w:tc>
          <w:tcPr>
            <w:tcW w:type="dxa" w:w="288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0.608</w:t>
            </w:r>
          </w:p>
        </w:tc>
      </w:tr>
    </w:tbl>
    <w:p>
      <w:r>
        <w:rPr>
          <w:rFonts w:ascii="Times New Roman" w:hAnsi="Times New Roman"/>
          <w:i/>
          <w:sz w:val="18"/>
        </w:rPr>
        <w:t>HR 及 95% CI;连续变量标准化(每 1 SD)。一致性指数=0.74;n=299,事件=96。数据:Chicco &amp; Jurman (2020)。</w:t>
      </w:r>
    </w:p>
    <w:p>
      <w:pPr>
        <w:spacing w:after="40"/>
      </w:pPr>
      <w:r>
        <w:rPr>
          <w:b/>
          <w:color w:val="1F4E79"/>
          <w:sz w:val="20"/>
        </w:rPr>
        <w:t>论证:</w:t>
      </w:r>
      <w:r>
        <w:rPr>
          <w:sz w:val="20"/>
        </w:rPr>
        <w:t>图 4 背后的精确校正风险比。</w:t>
      </w:r>
    </w:p>
    <w:p>
      <w:pPr>
        <w:spacing w:after="40"/>
      </w:pPr>
      <w:r>
        <w:rPr>
          <w:b/>
          <w:color w:val="1F4E79"/>
          <w:sz w:val="20"/>
        </w:rPr>
        <w:t>图注:</w:t>
      </w:r>
    </w:p>
    <w:p>
      <w:pPr>
        <w:spacing w:after="40"/>
      </w:pPr>
      <w:r>
        <w:rPr>
          <w:b/>
          <w:color w:val="1F4E79"/>
          <w:sz w:val="20"/>
        </w:rPr>
        <w:t>标注</w:t>
      </w:r>
    </w:p>
    <w:p>
      <w:pPr>
        <w:pStyle w:val="ListBullet"/>
        <w:spacing w:after="20"/>
      </w:pPr>
      <w:r>
        <w:rPr>
          <w:b/>
          <w:sz w:val="20"/>
        </w:rPr>
        <w:t xml:space="preserve">模型: </w:t>
      </w:r>
      <w:r>
        <w:rPr>
          <w:sz w:val="20"/>
        </w:rPr>
        <w:t>全部协变量同时纳入</w:t>
      </w:r>
    </w:p>
    <w:p>
      <w:pPr>
        <w:pStyle w:val="ListBullet"/>
        <w:spacing w:after="20"/>
      </w:pPr>
      <w:r>
        <w:rPr>
          <w:b/>
          <w:sz w:val="20"/>
        </w:rPr>
        <w:t xml:space="preserve">连续变量: </w:t>
      </w:r>
      <w:r>
        <w:rPr>
          <w:sz w:val="20"/>
        </w:rPr>
        <w:t>每 1 SD</w:t>
      </w:r>
    </w:p>
    <w:p>
      <w:pPr>
        <w:pStyle w:val="ListBullet"/>
        <w:spacing w:after="20"/>
      </w:pPr>
      <w:r>
        <w:rPr>
          <w:b/>
          <w:sz w:val="20"/>
        </w:rPr>
        <w:t xml:space="preserve">拟合: </w:t>
      </w:r>
      <w:r>
        <w:rPr>
          <w:sz w:val="20"/>
        </w:rPr>
        <w:t>报告 C-index</w:t>
      </w:r>
    </w:p>
    <w:p>
      <w:pPr>
        <w:spacing w:after="40"/>
      </w:pPr>
      <w:r>
        <w:rPr>
          <w:b/>
          <w:color w:val="1F4E79"/>
          <w:sz w:val="20"/>
        </w:rPr>
        <w:t>引用位置:</w:t>
      </w:r>
      <w:r>
        <w:rPr>
          <w:sz w:val="20"/>
        </w:rPr>
        <w:t>结果,校正分析:精确 HR 与图 4 并列引用。</w:t>
      </w:r>
    </w:p>
    <w:p>
      <w:pPr>
        <w:spacing w:after="40"/>
      </w:pPr>
      <w:r>
        <w:rPr>
          <w:b/>
          <w:color w:val="1F4E79"/>
          <w:sz w:val="20"/>
        </w:rPr>
        <w:t>可复现:</w:t>
      </w:r>
      <w:r>
        <w:rPr>
          <w:sz w:val="20"/>
        </w:rPr>
        <w:t>scripts/make_table2_cox.py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