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sz w:val="20"/>
        </w:rPr>
        <w:t>Table 1. Baseline characteristics by survival status.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sz="12" w:val="single" w:color="000000"/>
              <w:bottom w:sz="6" w:val="single" w:color="000000"/>
              <w:left w:sz="0" w:val="nil"/>
              <w:right w:sz="0"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Characteristic</w:t>
            </w:r>
          </w:p>
        </w:tc>
        <w:tc>
          <w:tcPr>
            <w:tcW w:type="dxa" w:w="2160"/>
            <w:tcBorders>
              <w:top w:sz="12" w:val="single" w:color="000000"/>
              <w:bottom w:sz="6" w:val="single" w:color="000000"/>
              <w:left w:sz="0" w:val="nil"/>
              <w:right w:sz="0"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Survived (n=203)</w:t>
            </w:r>
          </w:p>
        </w:tc>
        <w:tc>
          <w:tcPr>
            <w:tcW w:type="dxa" w:w="2160"/>
            <w:tcBorders>
              <w:top w:sz="12" w:val="single" w:color="000000"/>
              <w:bottom w:sz="6" w:val="single" w:color="000000"/>
              <w:left w:sz="0" w:val="nil"/>
              <w:right w:sz="0"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Died (n=96)</w:t>
            </w:r>
          </w:p>
        </w:tc>
        <w:tc>
          <w:tcPr>
            <w:tcW w:type="dxa" w:w="2160"/>
            <w:tcBorders>
              <w:top w:sz="12" w:val="single" w:color="000000"/>
              <w:bottom w:sz="6" w:val="single" w:color="000000"/>
              <w:left w:sz="0" w:val="nil"/>
              <w:right w:sz="0"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p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Patients, n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203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96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Age (years), median [IQR]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60 [50–65]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65 [55–75]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&lt; 0.001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Ejection fraction (%), median [IQR]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38 [35–45]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30 [25–38]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&lt; 0.001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Serum creatinine (mg/dL), median [IQR]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1.00 [0.90–1.20]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1.30 [1.08–1.90]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&lt; 0.001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Serum sodium (mEq/L), median [IQR]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137 [136–140]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136 [133–138]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&lt; 0.001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Platelets (×10³/µL), median [IQR]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263 [220–302]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258 [198–311]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0.426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CPK (mcg/L), median [IQR]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245 [109–582]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259 [129–582]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0.684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Male sex, n (%)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132 (65%)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62 (65%)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1.000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Anaemia, n (%)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83 (41%)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46 (48%)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0.307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Diabetes, n (%)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85 (42%)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40 (42%)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1.000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Hypertension, n (%)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66 (33%)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39 (41%)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0.214</w:t>
            </w:r>
          </w:p>
        </w:tc>
      </w:tr>
      <w:tr>
        <w:tc>
          <w:tcPr>
            <w:tcW w:type="dxa" w:w="2160"/>
            <w:tcBorders>
              <w:bottom w:sz="12" w:val="single" w:color="000000"/>
              <w:left w:sz="0" w:val="nil"/>
              <w:right w:sz="0"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Smoking, n (%)</w:t>
            </w:r>
          </w:p>
        </w:tc>
        <w:tc>
          <w:tcPr>
            <w:tcW w:type="dxa" w:w="2160"/>
            <w:tcBorders>
              <w:bottom w:sz="12" w:val="single" w:color="000000"/>
              <w:left w:sz="0" w:val="nil"/>
              <w:right w:sz="0"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66 (33%)</w:t>
            </w:r>
          </w:p>
        </w:tc>
        <w:tc>
          <w:tcPr>
            <w:tcW w:type="dxa" w:w="2160"/>
            <w:tcBorders>
              <w:bottom w:sz="12" w:val="single" w:color="000000"/>
              <w:left w:sz="0" w:val="nil"/>
              <w:right w:sz="0"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30 (31%)</w:t>
            </w:r>
          </w:p>
        </w:tc>
        <w:tc>
          <w:tcPr>
            <w:tcW w:type="dxa" w:w="2160"/>
            <w:tcBorders>
              <w:bottom w:sz="12" w:val="single" w:color="000000"/>
              <w:left w:sz="0" w:val="nil"/>
              <w:right w:sz="0"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0.932</w:t>
            </w:r>
          </w:p>
        </w:tc>
      </w:tr>
    </w:tbl>
    <w:p>
      <w:r>
        <w:rPr>
          <w:rFonts w:ascii="Times New Roman" w:hAnsi="Times New Roman"/>
          <w:i/>
          <w:sz w:val="18"/>
        </w:rPr>
        <w:t>Continuous variables: median [IQR], Mann–Whitney U test; binary variables: n (%), chi-square test. Counts compare survivors vs. patients who died during follow-up. Data: Chicco &amp; Jurman (2020).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