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0"/>
        </w:rPr>
        <w:t>Table 2. Multivariable Cox proportional-hazards model for mortality.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Predictor</w:t>
            </w:r>
          </w:p>
        </w:tc>
        <w:tc>
          <w:tcPr>
            <w:tcW w:type="dxa" w:w="288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HR [95% CI]</w:t>
            </w:r>
          </w:p>
        </w:tc>
        <w:tc>
          <w:tcPr>
            <w:tcW w:type="dxa" w:w="288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Age (per SD)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1.74 [1.40, 2.16]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Ejection fraction (per SD)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0.56 [0.44, 0.71]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Serum creatinine (per SD)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1.39 [1.21, 1.61]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Serum sodium (per SD)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0.82 [0.67, 1.01]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0.058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Platelets (per SD)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0.96 [0.77, 1.19]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0.681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CPK (per SD)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1.24 [1.03, 1.50]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0.026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Male sex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0.79 [0.48, 1.29]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0.345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Anaemia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1.58 [1.04, 2.42]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0.034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Diabetes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1.15 [0.74, 1.78]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0.531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Hypertension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1.61 [1.05, 2.46]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0.028</w:t>
            </w:r>
          </w:p>
        </w:tc>
      </w:tr>
      <w:tr>
        <w:tc>
          <w:tcPr>
            <w:tcW w:type="dxa" w:w="288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Smoking</w:t>
            </w:r>
          </w:p>
        </w:tc>
        <w:tc>
          <w:tcPr>
            <w:tcW w:type="dxa" w:w="288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1.14 [0.70, 1.86]</w:t>
            </w:r>
          </w:p>
        </w:tc>
        <w:tc>
          <w:tcPr>
            <w:tcW w:type="dxa" w:w="288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0.608</w:t>
            </w:r>
          </w:p>
        </w:tc>
      </w:tr>
    </w:tbl>
    <w:p>
      <w:r>
        <w:rPr>
          <w:rFonts w:ascii="Times New Roman" w:hAnsi="Times New Roman"/>
          <w:i/>
          <w:sz w:val="18"/>
        </w:rPr>
        <w:t>HR = hazard ratio; continuous predictors standardized (HR per 1 SD). Model concordance index = 0.74; n = 299, events = 96. Data: Chicco &amp; Jurman (2020).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