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0"/>
        </w:rPr>
        <w:t>Table 1. Morphometric measurements (mean ± SD) by species and sex.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Species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Sex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Culmen length (mm)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Culmen depth (mm)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Flipper length (mm)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Body mass (g)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37.3 ± 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188 ± 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3369 ± 269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40.4 ± 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19.1 ± 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4043 ± 347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46.6 ± 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3527 ± 285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51.1 ± 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19.3 ± 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± 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3939 ± 362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45.6 ± 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14.2 ± 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213 ±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4680 ± 282</w:t>
            </w:r>
          </w:p>
        </w:tc>
      </w:tr>
      <w:tr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49.5 ± 2.7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15.7 ± 0.7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222 ± 6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5485 ± 313</w:t>
            </w:r>
          </w:p>
        </w:tc>
      </w:tr>
    </w:tbl>
    <w:p>
      <w:r>
        <w:rPr>
          <w:rFonts w:ascii="Times New Roman" w:hAnsi="Times New Roman"/>
          <w:i/>
          <w:sz w:val="18"/>
        </w:rPr>
        <w:t>n = number of penguins. Data: Gorman et al. (2014).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