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0"/>
        </w:rPr>
        <w:t>Table 2. Sexual dimorphism by species and trait (Welch's t-test).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Species</w:t>
            </w:r>
          </w:p>
        </w:tc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Trait</w:t>
            </w:r>
          </w:p>
        </w:tc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Female (mean ± SD)</w:t>
            </w:r>
          </w:p>
        </w:tc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Male (mean ± SD)</w:t>
            </w:r>
          </w:p>
        </w:tc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</w:t>
            </w:r>
          </w:p>
        </w:tc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df</w:t>
            </w:r>
          </w:p>
        </w:tc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Hedges' g [95% CI]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Culmen length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37.3 ± 2.0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40.4 ± 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142.1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1.45 [1.08, 1.81]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Culmen depth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17.6 ± 0.9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19.1 ± 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8.93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143.1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1.47 [1.10, 1.84]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Flipper length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188 ± 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192 ± 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0.75 [0.41, 1.09]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Body mass (g)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3369 ± 269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4043 ± 347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13.13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135.7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2.16 [1.75, 2.57]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Chinstrap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Culmen length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46.6 ± 3.1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51.1 ± 1.6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1.82 [1.25, 2.38]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Chinstrap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Culmen depth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17.6 ± 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19.3 ± 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8.90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66.0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2.13 [1.54, 2.73]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Chinstrap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Flipper length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192 ± 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 ± 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65.9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1.38 [0.85, 1.91]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Chinstrap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Body mass (g)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3527 ± 285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3939 ± 362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1.25 [0.73, 1.77]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Gentoo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Culmen length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45.6 ± 2.1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49.5 ± 2.7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8.88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1.61 [1.19, 2.02]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Gentoo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Culmen depth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14.2 ± 0.5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15.7 ± 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109.7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2.26 [1.80, 2.72]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Gentoo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Flipper length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213 ± 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222 ± 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9.94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106.7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1.80 [1.37, 2.22]</w:t>
            </w:r>
          </w:p>
        </w:tc>
      </w:tr>
      <w:tr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Gentoo</w:t>
            </w:r>
          </w:p>
        </w:tc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Body mass (g)</w:t>
            </w:r>
          </w:p>
        </w:tc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4680 ± 282</w:t>
            </w:r>
          </w:p>
        </w:tc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5485 ± 313</w:t>
            </w:r>
          </w:p>
        </w:tc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14.76</w:t>
            </w:r>
          </w:p>
        </w:tc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116.6</w:t>
            </w:r>
          </w:p>
        </w:tc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2.68 [2.19, 3.18]</w:t>
            </w:r>
          </w:p>
        </w:tc>
      </w:tr>
    </w:tbl>
    <w:p>
      <w:r>
        <w:rPr>
          <w:rFonts w:ascii="Times New Roman" w:hAnsi="Times New Roman"/>
          <w:i/>
          <w:sz w:val="18"/>
        </w:rPr>
        <w:t>Male vs female; t = Welch's t, df = Welch–Satterthwaite; g = Hedges' g (positive = males larger). Data: Gorman et al. (2014).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