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0"/>
        </w:rPr>
        <w:t>Table 3. Sample composition by species, island and sex (number of penguins).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Species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Island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Female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Male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Unknown</w:t>
            </w:r>
          </w:p>
        </w:tc>
        <w:tc>
          <w:tcPr>
            <w:tcW w:type="dxa" w:w="1440"/>
            <w:tcBorders>
              <w:top w:sz="12" w:val="single" w:color="000000"/>
              <w:bottom w:sz="6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Total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Biscoe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Dream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Adelie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Torgersen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52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Chinstrap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Dream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68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Gentoo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Biscoe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</w:t>
            </w:r>
          </w:p>
        </w:tc>
      </w:tr>
      <w:tr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All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165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168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440"/>
            <w:tcBorders>
              <w:bottom w:sz="12" w:val="single" w:color="000000"/>
              <w:left w:sz="0" w:val="nil"/>
              <w:right w:sz="0"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344</w:t>
            </w:r>
          </w:p>
        </w:tc>
      </w:tr>
    </w:tbl>
    <w:p>
      <w:r>
        <w:rPr>
          <w:rFonts w:ascii="Times New Roman" w:hAnsi="Times New Roman"/>
          <w:i/>
          <w:sz w:val="18"/>
        </w:rPr>
        <w:t>Unknown = sex not determined. Data: Gorman et al. (2014).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