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4D3EE3" w:rsidRDefault="004D3EE3" w:rsidP="004D3EE3">
      <w:pPr>
        <w:pStyle w:val="3"/>
      </w:pPr>
      <w:r>
        <w:rPr>
          <w:rFonts w:hint="eastAsia"/>
        </w:rPr>
        <w:t>11-27</w:t>
      </w:r>
    </w:p>
    <w:p w:rsidR="004D3EE3" w:rsidRDefault="005B148F" w:rsidP="004D3EE3">
      <w:pPr>
        <w:ind w:firstLine="480"/>
      </w:pPr>
      <w:hyperlink r:id="rId9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61476E" w:rsidP="004D3EE3">
      <w:pPr>
        <w:ind w:firstLine="480"/>
        <w:rPr>
          <w:rFonts w:hint="eastAsia"/>
        </w:rPr>
      </w:pPr>
      <w:hyperlink r:id="rId10" w:history="1">
        <w:r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4D7CB5">
      <w:pPr>
        <w:pStyle w:val="3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</w:t>
      </w:r>
      <w:r>
        <w:rPr>
          <w:rFonts w:hint="eastAsia"/>
        </w:rPr>
        <w:lastRenderedPageBreak/>
        <w:t>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lastRenderedPageBreak/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550A0D">
      <w:pPr>
        <w:ind w:firstLine="480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俩种办法：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t>其实都是一个道理的，多敲俩下就知道了</w:t>
      </w:r>
    </w:p>
    <w:p w:rsidR="00550A0D" w:rsidRDefault="00550A0D" w:rsidP="004D7CB5">
      <w:pPr>
        <w:pStyle w:val="3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4D7CB5">
      <w:pPr>
        <w:pStyle w:val="3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</w:t>
      </w:r>
      <w:r>
        <w:rPr>
          <w:rFonts w:hint="eastAsia"/>
        </w:rPr>
        <w:lastRenderedPageBreak/>
        <w:t>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lastRenderedPageBreak/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"../api/Web/AllMsg"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"POST"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'application/json'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function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t>&lt;button id="btnPointMsg" disabled&gt;</w:t>
      </w:r>
    </w:p>
    <w:p w:rsidR="00010F1D" w:rsidRDefault="00010F1D" w:rsidP="00010F1D">
      <w:pPr>
        <w:pStyle w:val="3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73143D">
      <w:pPr>
        <w:pStyle w:val="3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>SqlParameter para2 = new SqlParameter("@OutVal", SqlDbType.VarChar, 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lastRenderedPageBreak/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435AB4">
      <w:pPr>
        <w:pStyle w:val="3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lastRenderedPageBreak/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lastRenderedPageBreak/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lastRenderedPageBreak/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F29" w:rsidRDefault="00553F29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553F29" w:rsidRDefault="00553F29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8F" w:rsidRDefault="005B148F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8F" w:rsidRDefault="005B148F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8F" w:rsidRDefault="005B148F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F29" w:rsidRDefault="00553F29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553F29" w:rsidRDefault="00553F29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8F" w:rsidRDefault="005B148F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8F" w:rsidRDefault="005B148F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8F" w:rsidRDefault="005B148F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10F1D"/>
    <w:rsid w:val="0001681D"/>
    <w:rsid w:val="00043011"/>
    <w:rsid w:val="00057FBB"/>
    <w:rsid w:val="0006553B"/>
    <w:rsid w:val="00086F92"/>
    <w:rsid w:val="000F74DF"/>
    <w:rsid w:val="00117B53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43D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368A9"/>
    <w:rsid w:val="00370653"/>
    <w:rsid w:val="00385497"/>
    <w:rsid w:val="003C018A"/>
    <w:rsid w:val="003C6185"/>
    <w:rsid w:val="0041449F"/>
    <w:rsid w:val="004250AA"/>
    <w:rsid w:val="00435AB4"/>
    <w:rsid w:val="004748C9"/>
    <w:rsid w:val="004A3825"/>
    <w:rsid w:val="004A3953"/>
    <w:rsid w:val="004A456E"/>
    <w:rsid w:val="004B0250"/>
    <w:rsid w:val="004D3EE3"/>
    <w:rsid w:val="004D7CB5"/>
    <w:rsid w:val="004E36D4"/>
    <w:rsid w:val="004F1341"/>
    <w:rsid w:val="00550A0D"/>
    <w:rsid w:val="00553F29"/>
    <w:rsid w:val="00566968"/>
    <w:rsid w:val="00593C81"/>
    <w:rsid w:val="005A4AFF"/>
    <w:rsid w:val="005B148F"/>
    <w:rsid w:val="005B3F2B"/>
    <w:rsid w:val="005F50FE"/>
    <w:rsid w:val="005F58B9"/>
    <w:rsid w:val="006136AF"/>
    <w:rsid w:val="0061476E"/>
    <w:rsid w:val="00644C4B"/>
    <w:rsid w:val="00662202"/>
    <w:rsid w:val="006724C2"/>
    <w:rsid w:val="006849D8"/>
    <w:rsid w:val="006D1E1E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F26FF"/>
    <w:rsid w:val="00804A8D"/>
    <w:rsid w:val="0085409D"/>
    <w:rsid w:val="00872FDD"/>
    <w:rsid w:val="0087786F"/>
    <w:rsid w:val="008A0373"/>
    <w:rsid w:val="008B1D53"/>
    <w:rsid w:val="008D3A34"/>
    <w:rsid w:val="008E6F26"/>
    <w:rsid w:val="0091499F"/>
    <w:rsid w:val="00930EE5"/>
    <w:rsid w:val="00945859"/>
    <w:rsid w:val="00952690"/>
    <w:rsid w:val="00970C48"/>
    <w:rsid w:val="0097358F"/>
    <w:rsid w:val="00992668"/>
    <w:rsid w:val="009B5F74"/>
    <w:rsid w:val="009D2274"/>
    <w:rsid w:val="009D667E"/>
    <w:rsid w:val="009F3936"/>
    <w:rsid w:val="00A0261A"/>
    <w:rsid w:val="00A33519"/>
    <w:rsid w:val="00A64D7C"/>
    <w:rsid w:val="00A72E47"/>
    <w:rsid w:val="00AA336B"/>
    <w:rsid w:val="00AA5CD1"/>
    <w:rsid w:val="00AB2658"/>
    <w:rsid w:val="00AE7953"/>
    <w:rsid w:val="00AF5A63"/>
    <w:rsid w:val="00B0396B"/>
    <w:rsid w:val="00B103DA"/>
    <w:rsid w:val="00B21DBB"/>
    <w:rsid w:val="00B33069"/>
    <w:rsid w:val="00B36E81"/>
    <w:rsid w:val="00B46BC8"/>
    <w:rsid w:val="00B51491"/>
    <w:rsid w:val="00B75E73"/>
    <w:rsid w:val="00B930EB"/>
    <w:rsid w:val="00B97EFA"/>
    <w:rsid w:val="00BB05C5"/>
    <w:rsid w:val="00BC40CF"/>
    <w:rsid w:val="00BF58DD"/>
    <w:rsid w:val="00C07E81"/>
    <w:rsid w:val="00C230F1"/>
    <w:rsid w:val="00C25C11"/>
    <w:rsid w:val="00C26D20"/>
    <w:rsid w:val="00C7479E"/>
    <w:rsid w:val="00C80F8B"/>
    <w:rsid w:val="00CA56BC"/>
    <w:rsid w:val="00CB484A"/>
    <w:rsid w:val="00CB5573"/>
    <w:rsid w:val="00CB60EF"/>
    <w:rsid w:val="00CE2BDE"/>
    <w:rsid w:val="00CF15B0"/>
    <w:rsid w:val="00D073CF"/>
    <w:rsid w:val="00DA7545"/>
    <w:rsid w:val="00DD0491"/>
    <w:rsid w:val="00DE3723"/>
    <w:rsid w:val="00DE7E1F"/>
    <w:rsid w:val="00E20E6F"/>
    <w:rsid w:val="00E366C9"/>
    <w:rsid w:val="00E5100D"/>
    <w:rsid w:val="00E80717"/>
    <w:rsid w:val="00E84F85"/>
    <w:rsid w:val="00E909E7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cnblogs.com/kissdodog/archive/2013/04/16/3025315.html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lhc1105/article/details/4628511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64A72-C754-4B11-9ED3-A0AF12C2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</Pages>
  <Words>7863</Words>
  <Characters>44824</Characters>
  <Application>Microsoft Office Word</Application>
  <DocSecurity>0</DocSecurity>
  <Lines>373</Lines>
  <Paragraphs>105</Paragraphs>
  <ScaleCrop>false</ScaleCrop>
  <Company/>
  <LinksUpToDate>false</LinksUpToDate>
  <CharactersWithSpaces>52582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2017-10-25T01:23:00Z</dcterms:created>
  <dcterms:modified xsi:type="dcterms:W3CDTF">2017-11-27T10:01:00Z</dcterms:modified>
</cp:coreProperties>
</file>