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8981" w14:textId="7DAF40AA" w:rsidR="00FE151B" w:rsidRPr="00431B04" w:rsidRDefault="00E602C8" w:rsidP="00F31891">
      <w:pPr>
        <w:spacing w:after="240"/>
        <w:jc w:val="both"/>
        <w:rPr>
          <w:rFonts w:asciiTheme="majorHAnsi" w:hAnsiTheme="majorHAnsi" w:cstheme="majorHAnsi"/>
          <w:color w:val="C00000"/>
        </w:rPr>
      </w:pPr>
      <w:r w:rsidRPr="00431B04">
        <w:rPr>
          <w:rFonts w:asciiTheme="majorHAnsi" w:hAnsiTheme="majorHAnsi" w:cstheme="majorHAnsi"/>
          <w:color w:val="C00000"/>
        </w:rPr>
        <w:t xml:space="preserve">PERÚ: </w:t>
      </w:r>
      <w:r w:rsidR="00AA7853">
        <w:rPr>
          <w:rFonts w:asciiTheme="majorHAnsi" w:hAnsiTheme="majorHAnsi" w:cstheme="majorHAnsi"/>
          <w:color w:val="C00000"/>
        </w:rPr>
        <w:t>UN ÍNDICE DE PROXIMIDAD FÍSICA PARA LOS SECTORES DE LA ECONOMÍA</w:t>
      </w:r>
    </w:p>
    <w:p w14:paraId="64290EF7" w14:textId="0DF75F21" w:rsidR="00443DF4" w:rsidRPr="00431B04" w:rsidRDefault="00443DF4" w:rsidP="003F0AE1">
      <w:pPr>
        <w:spacing w:after="0"/>
        <w:jc w:val="center"/>
        <w:rPr>
          <w:rFonts w:asciiTheme="majorHAnsi" w:hAnsiTheme="majorHAnsi" w:cstheme="majorHAnsi"/>
        </w:rPr>
      </w:pPr>
      <w:r w:rsidRPr="00431B04">
        <w:rPr>
          <w:rFonts w:asciiTheme="majorHAnsi" w:hAnsiTheme="majorHAnsi" w:cstheme="majorHAnsi"/>
        </w:rPr>
        <w:t>D</w:t>
      </w:r>
      <w:r w:rsidR="004E61CD" w:rsidRPr="00431B04">
        <w:rPr>
          <w:rFonts w:asciiTheme="majorHAnsi" w:hAnsiTheme="majorHAnsi" w:cstheme="majorHAnsi"/>
        </w:rPr>
        <w:t>avid</w:t>
      </w:r>
      <w:r w:rsidRPr="00431B04">
        <w:rPr>
          <w:rFonts w:asciiTheme="majorHAnsi" w:hAnsiTheme="majorHAnsi" w:cstheme="majorHAnsi"/>
        </w:rPr>
        <w:t xml:space="preserve"> R</w:t>
      </w:r>
      <w:r w:rsidR="003D4A6D" w:rsidRPr="00431B04">
        <w:rPr>
          <w:rFonts w:asciiTheme="majorHAnsi" w:hAnsiTheme="majorHAnsi" w:cstheme="majorHAnsi"/>
        </w:rPr>
        <w:t>odrigo</w:t>
      </w:r>
      <w:r w:rsidRPr="00431B04">
        <w:rPr>
          <w:rFonts w:asciiTheme="majorHAnsi" w:hAnsiTheme="majorHAnsi" w:cstheme="majorHAnsi"/>
        </w:rPr>
        <w:t xml:space="preserve"> Sánchez Navarro</w:t>
      </w:r>
      <w:r w:rsidR="00D16346" w:rsidRPr="00431B04">
        <w:rPr>
          <w:rStyle w:val="Refdenotaalpie"/>
          <w:rFonts w:asciiTheme="majorHAnsi" w:hAnsiTheme="majorHAnsi" w:cstheme="majorHAnsi"/>
        </w:rPr>
        <w:footnoteReference w:id="1"/>
      </w:r>
    </w:p>
    <w:p w14:paraId="1B597BB6" w14:textId="05E464E5" w:rsidR="00443DF4" w:rsidRPr="00431B04" w:rsidRDefault="003F0AE1" w:rsidP="003F0AE1">
      <w:pPr>
        <w:spacing w:after="360"/>
        <w:jc w:val="center"/>
        <w:rPr>
          <w:rFonts w:asciiTheme="majorHAnsi" w:hAnsiTheme="majorHAnsi" w:cstheme="majorHAnsi"/>
        </w:rPr>
      </w:pPr>
      <w:r w:rsidRPr="00431B04">
        <w:rPr>
          <w:rFonts w:asciiTheme="majorHAnsi" w:hAnsiTheme="majorHAnsi" w:cstheme="majorHAnsi"/>
        </w:rPr>
        <w:t>Abril 2020</w:t>
      </w:r>
    </w:p>
    <w:p w14:paraId="0C4CB7AF" w14:textId="08E92D08" w:rsidR="00431B04" w:rsidRPr="00431B04" w:rsidRDefault="00431B04" w:rsidP="00431B04">
      <w:pPr>
        <w:keepNext/>
        <w:framePr w:dropCap="drop" w:lines="2" w:wrap="around" w:vAnchor="text" w:hAnchor="text"/>
        <w:spacing w:after="0" w:line="579" w:lineRule="exact"/>
        <w:jc w:val="both"/>
        <w:textAlignment w:val="baseline"/>
        <w:rPr>
          <w:rFonts w:asciiTheme="majorHAnsi" w:hAnsiTheme="majorHAnsi" w:cstheme="majorHAnsi"/>
          <w:position w:val="-4"/>
          <w:sz w:val="71"/>
        </w:rPr>
      </w:pPr>
      <w:r w:rsidRPr="00431B04">
        <w:rPr>
          <w:rFonts w:asciiTheme="majorHAnsi" w:hAnsiTheme="majorHAnsi" w:cstheme="majorHAnsi"/>
          <w:position w:val="-4"/>
          <w:sz w:val="71"/>
        </w:rPr>
        <w:t>E</w:t>
      </w:r>
    </w:p>
    <w:p w14:paraId="22E70450" w14:textId="54C004BA" w:rsidR="00D621FC" w:rsidRPr="00431B04" w:rsidRDefault="00D621FC" w:rsidP="00D621FC">
      <w:pPr>
        <w:jc w:val="both"/>
        <w:rPr>
          <w:rFonts w:asciiTheme="majorHAnsi" w:hAnsiTheme="majorHAnsi" w:cstheme="majorHAnsi"/>
        </w:rPr>
      </w:pPr>
      <w:r w:rsidRPr="00431B04">
        <w:rPr>
          <w:rFonts w:asciiTheme="majorHAnsi" w:hAnsiTheme="majorHAnsi" w:cstheme="majorHAnsi"/>
        </w:rPr>
        <w:t xml:space="preserve">n el contexto de la pandemia </w:t>
      </w:r>
      <w:r w:rsidR="009B7B72" w:rsidRPr="00431B04">
        <w:rPr>
          <w:rFonts w:asciiTheme="majorHAnsi" w:hAnsiTheme="majorHAnsi" w:cstheme="majorHAnsi"/>
        </w:rPr>
        <w:t>originada</w:t>
      </w:r>
      <w:r w:rsidRPr="00431B04">
        <w:rPr>
          <w:rFonts w:asciiTheme="majorHAnsi" w:hAnsiTheme="majorHAnsi" w:cstheme="majorHAnsi"/>
        </w:rPr>
        <w:t xml:space="preserve"> </w:t>
      </w:r>
      <w:r w:rsidR="00223FE8" w:rsidRPr="00431B04">
        <w:rPr>
          <w:rFonts w:asciiTheme="majorHAnsi" w:hAnsiTheme="majorHAnsi" w:cstheme="majorHAnsi"/>
        </w:rPr>
        <w:t xml:space="preserve">por el </w:t>
      </w:r>
      <w:r w:rsidR="0094175C" w:rsidRPr="00431B04">
        <w:rPr>
          <w:rFonts w:asciiTheme="majorHAnsi" w:hAnsiTheme="majorHAnsi" w:cstheme="majorHAnsi"/>
        </w:rPr>
        <w:t>COVID</w:t>
      </w:r>
      <w:r w:rsidRPr="00431B04">
        <w:rPr>
          <w:rFonts w:asciiTheme="majorHAnsi" w:hAnsiTheme="majorHAnsi" w:cstheme="majorHAnsi"/>
        </w:rPr>
        <w:t xml:space="preserve">-19, en la cual quienes portan el virus SARS-CoV-2 pueden </w:t>
      </w:r>
      <w:r w:rsidR="009B7B72" w:rsidRPr="00431B04">
        <w:rPr>
          <w:rFonts w:asciiTheme="majorHAnsi" w:hAnsiTheme="majorHAnsi" w:cstheme="majorHAnsi"/>
        </w:rPr>
        <w:t xml:space="preserve">encontrarse </w:t>
      </w:r>
      <w:r w:rsidR="00223FE8" w:rsidRPr="00431B04">
        <w:rPr>
          <w:rFonts w:asciiTheme="majorHAnsi" w:hAnsiTheme="majorHAnsi" w:cstheme="majorHAnsi"/>
        </w:rPr>
        <w:t xml:space="preserve">hasta </w:t>
      </w:r>
      <w:r w:rsidR="009B7B72" w:rsidRPr="00431B04">
        <w:rPr>
          <w:rFonts w:asciiTheme="majorHAnsi" w:hAnsiTheme="majorHAnsi" w:cstheme="majorHAnsi"/>
        </w:rPr>
        <w:t>dos semanas sin presentar</w:t>
      </w:r>
      <w:r w:rsidR="006124E5">
        <w:rPr>
          <w:rFonts w:asciiTheme="majorHAnsi" w:hAnsiTheme="majorHAnsi" w:cstheme="majorHAnsi"/>
        </w:rPr>
        <w:t xml:space="preserve"> algún</w:t>
      </w:r>
      <w:r w:rsidR="009B7B72" w:rsidRPr="00431B04">
        <w:rPr>
          <w:rFonts w:asciiTheme="majorHAnsi" w:hAnsiTheme="majorHAnsi" w:cstheme="majorHAnsi"/>
        </w:rPr>
        <w:t xml:space="preserve"> síntoma</w:t>
      </w:r>
      <w:r w:rsidR="0083367F" w:rsidRPr="00431B04">
        <w:rPr>
          <w:rFonts w:asciiTheme="majorHAnsi" w:hAnsiTheme="majorHAnsi" w:cstheme="majorHAnsi"/>
        </w:rPr>
        <w:t xml:space="preserve"> y contagiar a personas alrededor de ellas</w:t>
      </w:r>
      <w:r w:rsidR="009B7B72" w:rsidRPr="00431B04">
        <w:rPr>
          <w:rFonts w:asciiTheme="majorHAnsi" w:hAnsiTheme="majorHAnsi" w:cstheme="majorHAnsi"/>
        </w:rPr>
        <w:t xml:space="preserve">, </w:t>
      </w:r>
      <w:r w:rsidR="002F764A" w:rsidRPr="00431B04">
        <w:rPr>
          <w:rFonts w:asciiTheme="majorHAnsi" w:hAnsiTheme="majorHAnsi" w:cstheme="majorHAnsi"/>
        </w:rPr>
        <w:t xml:space="preserve">una de las preguntas más evidentes que surge cuando </w:t>
      </w:r>
      <w:r w:rsidR="00FE6232" w:rsidRPr="00431B04">
        <w:rPr>
          <w:rFonts w:asciiTheme="majorHAnsi" w:hAnsiTheme="majorHAnsi" w:cstheme="majorHAnsi"/>
        </w:rPr>
        <w:t xml:space="preserve">pensamos en </w:t>
      </w:r>
      <w:r w:rsidR="00A017A3" w:rsidRPr="00431B04">
        <w:rPr>
          <w:rFonts w:asciiTheme="majorHAnsi" w:hAnsiTheme="majorHAnsi" w:cstheme="majorHAnsi"/>
        </w:rPr>
        <w:t xml:space="preserve">la “reapertura económica” es </w:t>
      </w:r>
      <w:r w:rsidR="00FE6232" w:rsidRPr="00431B04">
        <w:rPr>
          <w:rFonts w:asciiTheme="majorHAnsi" w:hAnsiTheme="majorHAnsi" w:cstheme="majorHAnsi"/>
        </w:rPr>
        <w:t xml:space="preserve">cuáles actividades estarían más expuestas </w:t>
      </w:r>
      <w:r w:rsidR="00A017A3" w:rsidRPr="00431B04">
        <w:rPr>
          <w:rFonts w:asciiTheme="majorHAnsi" w:hAnsiTheme="majorHAnsi" w:cstheme="majorHAnsi"/>
        </w:rPr>
        <w:t>al contagio</w:t>
      </w:r>
      <w:r w:rsidR="000D3257">
        <w:rPr>
          <w:rFonts w:asciiTheme="majorHAnsi" w:hAnsiTheme="majorHAnsi" w:cstheme="majorHAnsi"/>
        </w:rPr>
        <w:t xml:space="preserve"> sabiendo que el virus no tiene cura por el momento</w:t>
      </w:r>
      <w:r w:rsidR="00A017A3" w:rsidRPr="00431B04">
        <w:rPr>
          <w:rFonts w:asciiTheme="majorHAnsi" w:hAnsiTheme="majorHAnsi" w:cstheme="majorHAnsi"/>
        </w:rPr>
        <w:t>.</w:t>
      </w:r>
      <w:r w:rsidR="00611820" w:rsidRPr="00431B04">
        <w:rPr>
          <w:rFonts w:asciiTheme="majorHAnsi" w:hAnsiTheme="majorHAnsi" w:cstheme="majorHAnsi"/>
        </w:rPr>
        <w:t xml:space="preserve"> </w:t>
      </w:r>
      <w:r w:rsidR="00A017A3" w:rsidRPr="00431B04">
        <w:rPr>
          <w:rFonts w:asciiTheme="majorHAnsi" w:hAnsiTheme="majorHAnsi" w:cstheme="majorHAnsi"/>
        </w:rPr>
        <w:t xml:space="preserve">Esto </w:t>
      </w:r>
      <w:r w:rsidR="00DB6D73" w:rsidRPr="00431B04">
        <w:rPr>
          <w:rFonts w:asciiTheme="majorHAnsi" w:hAnsiTheme="majorHAnsi" w:cstheme="majorHAnsi"/>
        </w:rPr>
        <w:t>redundaría en</w:t>
      </w:r>
      <w:r w:rsidR="00A017A3" w:rsidRPr="00431B04">
        <w:rPr>
          <w:rFonts w:asciiTheme="majorHAnsi" w:hAnsiTheme="majorHAnsi" w:cstheme="majorHAnsi"/>
        </w:rPr>
        <w:t xml:space="preserve"> </w:t>
      </w:r>
      <w:r w:rsidR="00DB6D73" w:rsidRPr="00431B04">
        <w:rPr>
          <w:rFonts w:asciiTheme="majorHAnsi" w:hAnsiTheme="majorHAnsi" w:cstheme="majorHAnsi"/>
        </w:rPr>
        <w:t xml:space="preserve">saber </w:t>
      </w:r>
      <w:r w:rsidR="00A017A3" w:rsidRPr="00431B04">
        <w:rPr>
          <w:rFonts w:asciiTheme="majorHAnsi" w:hAnsiTheme="majorHAnsi" w:cstheme="majorHAnsi"/>
        </w:rPr>
        <w:t xml:space="preserve">en </w:t>
      </w:r>
      <w:r w:rsidR="00DB6D73" w:rsidRPr="00431B04">
        <w:rPr>
          <w:rFonts w:asciiTheme="majorHAnsi" w:hAnsiTheme="majorHAnsi" w:cstheme="majorHAnsi"/>
        </w:rPr>
        <w:t xml:space="preserve">qué </w:t>
      </w:r>
      <w:r w:rsidR="00A017A3" w:rsidRPr="00431B04">
        <w:rPr>
          <w:rFonts w:asciiTheme="majorHAnsi" w:hAnsiTheme="majorHAnsi" w:cstheme="majorHAnsi"/>
        </w:rPr>
        <w:t>sectores</w:t>
      </w:r>
      <w:r w:rsidR="00DB6D73" w:rsidRPr="00431B04">
        <w:rPr>
          <w:rFonts w:asciiTheme="majorHAnsi" w:hAnsiTheme="majorHAnsi" w:cstheme="majorHAnsi"/>
        </w:rPr>
        <w:t xml:space="preserve"> </w:t>
      </w:r>
      <w:r w:rsidR="00A017A3" w:rsidRPr="00431B04">
        <w:rPr>
          <w:rFonts w:asciiTheme="majorHAnsi" w:hAnsiTheme="majorHAnsi" w:cstheme="majorHAnsi"/>
        </w:rPr>
        <w:t xml:space="preserve">de </w:t>
      </w:r>
      <w:r w:rsidR="00DB6D73" w:rsidRPr="00431B04">
        <w:rPr>
          <w:rFonts w:asciiTheme="majorHAnsi" w:hAnsiTheme="majorHAnsi" w:cstheme="majorHAnsi"/>
        </w:rPr>
        <w:t xml:space="preserve">nuestra </w:t>
      </w:r>
      <w:r w:rsidR="00A017A3" w:rsidRPr="00431B04">
        <w:rPr>
          <w:rFonts w:asciiTheme="majorHAnsi" w:hAnsiTheme="majorHAnsi" w:cstheme="majorHAnsi"/>
        </w:rPr>
        <w:t>economía los trabajadores están físicamente más juntos</w:t>
      </w:r>
      <w:r w:rsidR="00DB6D73" w:rsidRPr="00431B04">
        <w:rPr>
          <w:rFonts w:asciiTheme="majorHAnsi" w:hAnsiTheme="majorHAnsi" w:cstheme="majorHAnsi"/>
        </w:rPr>
        <w:t xml:space="preserve">; </w:t>
      </w:r>
      <w:r w:rsidR="0083367F" w:rsidRPr="00431B04">
        <w:rPr>
          <w:rFonts w:asciiTheme="majorHAnsi" w:hAnsiTheme="majorHAnsi" w:cstheme="majorHAnsi"/>
        </w:rPr>
        <w:t>es decir, en d</w:t>
      </w:r>
      <w:r w:rsidR="000D3257">
        <w:rPr>
          <w:rFonts w:asciiTheme="majorHAnsi" w:hAnsiTheme="majorHAnsi" w:cstheme="majorHAnsi"/>
        </w:rPr>
        <w:t>ó</w:t>
      </w:r>
      <w:r w:rsidR="0083367F" w:rsidRPr="00431B04">
        <w:rPr>
          <w:rFonts w:asciiTheme="majorHAnsi" w:hAnsiTheme="majorHAnsi" w:cstheme="majorHAnsi"/>
        </w:rPr>
        <w:t>nde</w:t>
      </w:r>
      <w:r w:rsidR="00DB6D73" w:rsidRPr="00431B04">
        <w:rPr>
          <w:rFonts w:asciiTheme="majorHAnsi" w:hAnsiTheme="majorHAnsi" w:cstheme="majorHAnsi"/>
        </w:rPr>
        <w:t xml:space="preserve"> </w:t>
      </w:r>
      <w:r w:rsidR="00A017A3" w:rsidRPr="00431B04">
        <w:rPr>
          <w:rFonts w:asciiTheme="majorHAnsi" w:hAnsiTheme="majorHAnsi" w:cstheme="majorHAnsi"/>
        </w:rPr>
        <w:t xml:space="preserve">mantienen contacto </w:t>
      </w:r>
      <w:r w:rsidR="00DB6D73" w:rsidRPr="00431B04">
        <w:rPr>
          <w:rFonts w:asciiTheme="majorHAnsi" w:hAnsiTheme="majorHAnsi" w:cstheme="majorHAnsi"/>
        </w:rPr>
        <w:t xml:space="preserve">físico </w:t>
      </w:r>
      <w:r w:rsidR="00A017A3" w:rsidRPr="00431B04">
        <w:rPr>
          <w:rFonts w:asciiTheme="majorHAnsi" w:hAnsiTheme="majorHAnsi" w:cstheme="majorHAnsi"/>
        </w:rPr>
        <w:t>constantemente con otras personas</w:t>
      </w:r>
      <w:r w:rsidR="00DB6D73" w:rsidRPr="00431B04">
        <w:rPr>
          <w:rFonts w:asciiTheme="majorHAnsi" w:hAnsiTheme="majorHAnsi" w:cstheme="majorHAnsi"/>
        </w:rPr>
        <w:t xml:space="preserve">, ya sea con otros trabajadores o con personas que adquieren algún producto o servicio. </w:t>
      </w:r>
    </w:p>
    <w:p w14:paraId="2986CA9B" w14:textId="1C258567" w:rsidR="00C225B5" w:rsidRPr="00431B04" w:rsidRDefault="00467546" w:rsidP="00D621FC">
      <w:pPr>
        <w:jc w:val="both"/>
        <w:rPr>
          <w:rFonts w:asciiTheme="majorHAnsi" w:hAnsiTheme="majorHAnsi" w:cstheme="majorHAnsi"/>
        </w:rPr>
      </w:pPr>
      <w:r w:rsidRPr="00431B04">
        <w:rPr>
          <w:rFonts w:asciiTheme="majorHAnsi" w:hAnsiTheme="majorHAnsi" w:cstheme="majorHAnsi"/>
        </w:rPr>
        <w:t xml:space="preserve">Sería oportuno tener alguna fuente de información que recoja algún indicador que </w:t>
      </w:r>
      <w:r w:rsidR="00EF30C0" w:rsidRPr="00431B04">
        <w:rPr>
          <w:rFonts w:asciiTheme="majorHAnsi" w:hAnsiTheme="majorHAnsi" w:cstheme="majorHAnsi"/>
        </w:rPr>
        <w:t xml:space="preserve">permita identificar en </w:t>
      </w:r>
      <w:r w:rsidR="00CD62C6">
        <w:rPr>
          <w:rFonts w:asciiTheme="majorHAnsi" w:hAnsiTheme="majorHAnsi" w:cstheme="majorHAnsi"/>
        </w:rPr>
        <w:t>qué</w:t>
      </w:r>
      <w:r w:rsidR="00EF30C0" w:rsidRPr="00431B04">
        <w:rPr>
          <w:rFonts w:asciiTheme="majorHAnsi" w:hAnsiTheme="majorHAnsi" w:cstheme="majorHAnsi"/>
        </w:rPr>
        <w:t xml:space="preserve"> puestos de trabajo se mantiene mayor contacto. </w:t>
      </w:r>
      <w:r w:rsidR="0083367F" w:rsidRPr="00431B04">
        <w:rPr>
          <w:rFonts w:asciiTheme="majorHAnsi" w:hAnsiTheme="majorHAnsi" w:cstheme="majorHAnsi"/>
        </w:rPr>
        <w:t>A</w:t>
      </w:r>
      <w:r w:rsidR="00EF30C0" w:rsidRPr="00431B04">
        <w:rPr>
          <w:rFonts w:asciiTheme="majorHAnsi" w:hAnsiTheme="majorHAnsi" w:cstheme="majorHAnsi"/>
        </w:rPr>
        <w:t>lgún indicador de tipo escala de Likert</w:t>
      </w:r>
      <w:r w:rsidR="009720DE" w:rsidRPr="00431B04">
        <w:rPr>
          <w:rFonts w:asciiTheme="majorHAnsi" w:hAnsiTheme="majorHAnsi" w:cstheme="majorHAnsi"/>
        </w:rPr>
        <w:t xml:space="preserve"> que, por ejemplo, </w:t>
      </w:r>
      <w:r w:rsidR="00EF30C0" w:rsidRPr="00431B04">
        <w:rPr>
          <w:rFonts w:asciiTheme="majorHAnsi" w:hAnsiTheme="majorHAnsi" w:cstheme="majorHAnsi"/>
        </w:rPr>
        <w:t xml:space="preserve">para las personas que laboran </w:t>
      </w:r>
      <w:r w:rsidR="009720DE" w:rsidRPr="00431B04">
        <w:rPr>
          <w:rFonts w:asciiTheme="majorHAnsi" w:hAnsiTheme="majorHAnsi" w:cstheme="majorHAnsi"/>
        </w:rPr>
        <w:t>en barberías</w:t>
      </w:r>
      <w:r w:rsidR="00EF30C0" w:rsidRPr="00431B04">
        <w:rPr>
          <w:rFonts w:asciiTheme="majorHAnsi" w:hAnsiTheme="majorHAnsi" w:cstheme="majorHAnsi"/>
        </w:rPr>
        <w:t xml:space="preserve">, </w:t>
      </w:r>
      <w:r w:rsidR="009720DE" w:rsidRPr="00431B04">
        <w:rPr>
          <w:rFonts w:asciiTheme="majorHAnsi" w:hAnsiTheme="majorHAnsi" w:cstheme="majorHAnsi"/>
        </w:rPr>
        <w:t>haga un ranking del 1 al 5</w:t>
      </w:r>
      <w:r w:rsidR="0083367F" w:rsidRPr="00431B04">
        <w:rPr>
          <w:rFonts w:asciiTheme="majorHAnsi" w:hAnsiTheme="majorHAnsi" w:cstheme="majorHAnsi"/>
        </w:rPr>
        <w:t xml:space="preserve"> para determinar</w:t>
      </w:r>
      <w:r w:rsidR="009720DE" w:rsidRPr="00431B04">
        <w:rPr>
          <w:rFonts w:asciiTheme="majorHAnsi" w:hAnsiTheme="majorHAnsi" w:cstheme="majorHAnsi"/>
        </w:rPr>
        <w:t xml:space="preserve"> si el barbero entra en contacto frecuentemente con otras personas</w:t>
      </w:r>
      <w:r w:rsidR="0083367F" w:rsidRPr="00431B04">
        <w:rPr>
          <w:rFonts w:asciiTheme="majorHAnsi" w:hAnsiTheme="majorHAnsi" w:cstheme="majorHAnsi"/>
        </w:rPr>
        <w:t xml:space="preserve"> o no</w:t>
      </w:r>
      <w:r w:rsidR="009720DE" w:rsidRPr="00431B04">
        <w:rPr>
          <w:rFonts w:asciiTheme="majorHAnsi" w:hAnsiTheme="majorHAnsi" w:cstheme="majorHAnsi"/>
        </w:rPr>
        <w:t xml:space="preserve">. En este ejemplo es claro que el valor estaría entre 4 o 5; de otro modo cómo desempeñaría bien </w:t>
      </w:r>
      <w:r w:rsidR="00045AF5">
        <w:rPr>
          <w:rFonts w:asciiTheme="majorHAnsi" w:hAnsiTheme="majorHAnsi" w:cstheme="majorHAnsi"/>
        </w:rPr>
        <w:t>su</w:t>
      </w:r>
      <w:r w:rsidR="0083367F" w:rsidRPr="00431B04">
        <w:rPr>
          <w:rFonts w:asciiTheme="majorHAnsi" w:hAnsiTheme="majorHAnsi" w:cstheme="majorHAnsi"/>
        </w:rPr>
        <w:t xml:space="preserve"> </w:t>
      </w:r>
      <w:r w:rsidR="009720DE" w:rsidRPr="00431B04">
        <w:rPr>
          <w:rFonts w:asciiTheme="majorHAnsi" w:hAnsiTheme="majorHAnsi" w:cstheme="majorHAnsi"/>
        </w:rPr>
        <w:t>trabajo el barbero (?)</w:t>
      </w:r>
      <w:r w:rsidR="00D56C52" w:rsidRPr="00431B04">
        <w:rPr>
          <w:rFonts w:asciiTheme="majorHAnsi" w:hAnsiTheme="majorHAnsi" w:cstheme="majorHAnsi"/>
        </w:rPr>
        <w:t>. Este mismo ejercicio podría aplicarse a todas las actividades u ocupaciones</w:t>
      </w:r>
      <w:r w:rsidR="0079456D">
        <w:rPr>
          <w:rFonts w:asciiTheme="majorHAnsi" w:hAnsiTheme="majorHAnsi" w:cstheme="majorHAnsi"/>
        </w:rPr>
        <w:t>.</w:t>
      </w:r>
    </w:p>
    <w:p w14:paraId="559E4F98" w14:textId="4A6C9104" w:rsidR="0089129C" w:rsidRPr="00431B04" w:rsidRDefault="00D56C52" w:rsidP="00066CD2">
      <w:pPr>
        <w:spacing w:after="240"/>
        <w:jc w:val="both"/>
        <w:rPr>
          <w:rFonts w:asciiTheme="majorHAnsi" w:hAnsiTheme="majorHAnsi" w:cstheme="majorHAnsi"/>
        </w:rPr>
      </w:pPr>
      <w:r w:rsidRPr="00431B04">
        <w:rPr>
          <w:rFonts w:asciiTheme="majorHAnsi" w:hAnsiTheme="majorHAnsi" w:cstheme="majorHAnsi"/>
        </w:rPr>
        <w:t xml:space="preserve">Una de nuestras mejores herramientas para </w:t>
      </w:r>
      <w:r w:rsidR="006425B2" w:rsidRPr="00431B04">
        <w:rPr>
          <w:rFonts w:asciiTheme="majorHAnsi" w:hAnsiTheme="majorHAnsi" w:cstheme="majorHAnsi"/>
        </w:rPr>
        <w:t>tomar</w:t>
      </w:r>
      <w:r w:rsidRPr="00431B04">
        <w:rPr>
          <w:rFonts w:asciiTheme="majorHAnsi" w:hAnsiTheme="majorHAnsi" w:cstheme="majorHAnsi"/>
        </w:rPr>
        <w:t xml:space="preserve"> </w:t>
      </w:r>
      <w:r w:rsidR="006425B2" w:rsidRPr="00431B04">
        <w:rPr>
          <w:rFonts w:asciiTheme="majorHAnsi" w:hAnsiTheme="majorHAnsi" w:cstheme="majorHAnsi"/>
        </w:rPr>
        <w:t xml:space="preserve">“fotografías” de las </w:t>
      </w:r>
      <w:r w:rsidR="00431B04" w:rsidRPr="00431B04">
        <w:rPr>
          <w:rFonts w:asciiTheme="majorHAnsi" w:hAnsiTheme="majorHAnsi" w:cstheme="majorHAnsi"/>
        </w:rPr>
        <w:t>características</w:t>
      </w:r>
      <w:r w:rsidR="006425B2" w:rsidRPr="00431B04">
        <w:rPr>
          <w:rFonts w:asciiTheme="majorHAnsi" w:hAnsiTheme="majorHAnsi" w:cstheme="majorHAnsi"/>
        </w:rPr>
        <w:t xml:space="preserve"> </w:t>
      </w:r>
      <w:r w:rsidR="00431B04" w:rsidRPr="00431B04">
        <w:rPr>
          <w:rFonts w:asciiTheme="majorHAnsi" w:hAnsiTheme="majorHAnsi" w:cstheme="majorHAnsi"/>
        </w:rPr>
        <w:t xml:space="preserve">socioeconómicas </w:t>
      </w:r>
      <w:r w:rsidR="006425B2" w:rsidRPr="00431B04">
        <w:rPr>
          <w:rFonts w:asciiTheme="majorHAnsi" w:hAnsiTheme="majorHAnsi" w:cstheme="majorHAnsi"/>
        </w:rPr>
        <w:t>a nivel nacional en el Perú es la Encuesta Nacional de Hogares (ENAHO) que realiza el Instituto Nacional de Estadística e Informática (INEI) cada año</w:t>
      </w:r>
      <w:r w:rsidR="007F1E67" w:rsidRPr="00431B04">
        <w:rPr>
          <w:rFonts w:asciiTheme="majorHAnsi" w:hAnsiTheme="majorHAnsi" w:cstheme="majorHAnsi"/>
        </w:rPr>
        <w:t xml:space="preserve">. </w:t>
      </w:r>
      <w:r w:rsidR="0089129C" w:rsidRPr="00431B04">
        <w:rPr>
          <w:rFonts w:asciiTheme="majorHAnsi" w:hAnsiTheme="majorHAnsi" w:cstheme="majorHAnsi"/>
        </w:rPr>
        <w:t xml:space="preserve">Esta encuesta, en su módulo correspondiente a las condiciones de empleo e ingresos —comúnmente conocido como “módulo </w:t>
      </w:r>
      <w:r w:rsidR="0089129C" w:rsidRPr="00431B04">
        <w:rPr>
          <w:rFonts w:asciiTheme="majorHAnsi" w:hAnsiTheme="majorHAnsi" w:cstheme="majorHAnsi"/>
        </w:rPr>
        <w:t>500“—, lamentablemente no considera alguna variable asociada a nuestra interrogante</w:t>
      </w:r>
      <w:r w:rsidR="00D61A4D" w:rsidRPr="00431B04">
        <w:rPr>
          <w:rFonts w:asciiTheme="majorHAnsi" w:hAnsiTheme="majorHAnsi" w:cstheme="majorHAnsi"/>
        </w:rPr>
        <w:t xml:space="preserve">. </w:t>
      </w:r>
    </w:p>
    <w:p w14:paraId="6E189D39" w14:textId="58685A4A" w:rsidR="00196F5D" w:rsidRPr="00431B04" w:rsidRDefault="00BD0195" w:rsidP="00FA7DF7">
      <w:pPr>
        <w:spacing w:after="120"/>
        <w:jc w:val="both"/>
        <w:rPr>
          <w:rFonts w:asciiTheme="majorHAnsi" w:hAnsiTheme="majorHAnsi" w:cstheme="majorHAnsi"/>
          <w:color w:val="C00000"/>
        </w:rPr>
      </w:pPr>
      <w:r>
        <w:rPr>
          <w:rFonts w:asciiTheme="majorHAnsi" w:hAnsiTheme="majorHAnsi" w:cstheme="majorHAnsi"/>
          <w:color w:val="C00000"/>
        </w:rPr>
        <w:t xml:space="preserve">FUENTES DE </w:t>
      </w:r>
      <w:r w:rsidR="00196F5D" w:rsidRPr="00431B04">
        <w:rPr>
          <w:rFonts w:asciiTheme="majorHAnsi" w:hAnsiTheme="majorHAnsi" w:cstheme="majorHAnsi"/>
          <w:color w:val="C00000"/>
        </w:rPr>
        <w:t>INFORMACIÓN</w:t>
      </w:r>
      <w:r w:rsidR="00116A6E">
        <w:rPr>
          <w:rFonts w:asciiTheme="majorHAnsi" w:hAnsiTheme="majorHAnsi" w:cstheme="majorHAnsi"/>
          <w:color w:val="C00000"/>
        </w:rPr>
        <w:t xml:space="preserve"> Y CONSTRUCCIÓN</w:t>
      </w:r>
    </w:p>
    <w:p w14:paraId="17D9532E" w14:textId="304F52A6" w:rsidR="00431B04" w:rsidRDefault="00C84633" w:rsidP="002A4879">
      <w:pPr>
        <w:jc w:val="both"/>
        <w:rPr>
          <w:rFonts w:asciiTheme="majorHAnsi" w:hAnsiTheme="majorHAnsi" w:cstheme="majorHAnsi"/>
        </w:rPr>
      </w:pPr>
      <w:r w:rsidRPr="00431B04">
        <w:rPr>
          <w:rFonts w:asciiTheme="majorHAnsi" w:hAnsiTheme="majorHAnsi" w:cstheme="majorHAnsi"/>
        </w:rPr>
        <w:t xml:space="preserve">Por suerte, </w:t>
      </w:r>
      <w:r w:rsidR="004A511A" w:rsidRPr="00431B04">
        <w:rPr>
          <w:rFonts w:asciiTheme="majorHAnsi" w:hAnsiTheme="majorHAnsi" w:cstheme="majorHAnsi"/>
        </w:rPr>
        <w:t>quien</w:t>
      </w:r>
      <w:r w:rsidRPr="00431B04">
        <w:rPr>
          <w:rFonts w:asciiTheme="majorHAnsi" w:hAnsiTheme="majorHAnsi" w:cstheme="majorHAnsi"/>
        </w:rPr>
        <w:t xml:space="preserve"> sí recoge información sobre esto es O*NET del U.S. </w:t>
      </w:r>
      <w:proofErr w:type="spellStart"/>
      <w:r w:rsidRPr="00431B04">
        <w:rPr>
          <w:rFonts w:asciiTheme="majorHAnsi" w:hAnsiTheme="majorHAnsi" w:cstheme="majorHAnsi"/>
        </w:rPr>
        <w:t>Department</w:t>
      </w:r>
      <w:proofErr w:type="spellEnd"/>
      <w:r w:rsidRPr="00431B04">
        <w:rPr>
          <w:rFonts w:asciiTheme="majorHAnsi" w:hAnsiTheme="majorHAnsi" w:cstheme="majorHAnsi"/>
        </w:rPr>
        <w:t xml:space="preserve"> </w:t>
      </w:r>
      <w:proofErr w:type="spellStart"/>
      <w:r w:rsidRPr="00431B04">
        <w:rPr>
          <w:rFonts w:asciiTheme="majorHAnsi" w:hAnsiTheme="majorHAnsi" w:cstheme="majorHAnsi"/>
        </w:rPr>
        <w:t>of</w:t>
      </w:r>
      <w:proofErr w:type="spellEnd"/>
      <w:r w:rsidRPr="00431B04">
        <w:rPr>
          <w:rFonts w:asciiTheme="majorHAnsi" w:hAnsiTheme="majorHAnsi" w:cstheme="majorHAnsi"/>
        </w:rPr>
        <w:t xml:space="preserve"> Labor</w:t>
      </w:r>
      <w:r w:rsidR="00431B04">
        <w:rPr>
          <w:rFonts w:asciiTheme="majorHAnsi" w:hAnsiTheme="majorHAnsi" w:cstheme="majorHAnsi"/>
        </w:rPr>
        <w:t>, la cual «...</w:t>
      </w:r>
      <w:r w:rsidR="00431B04" w:rsidRPr="00431B04">
        <w:rPr>
          <w:rFonts w:asciiTheme="majorHAnsi" w:hAnsiTheme="majorHAnsi" w:cstheme="majorHAnsi"/>
        </w:rPr>
        <w:t>es una base de datos en línea gratuita que contiene cientos de definiciones ocupacionales para ayudar a los estudiantes, solicitantes de empleo, empresas y profesionales de desarrollo de la fuerza laboral a comprender el mundo laboral actual en los Estados Unidos»</w:t>
      </w:r>
      <w:r w:rsidR="005F3FEF" w:rsidRPr="00431B04">
        <w:rPr>
          <w:rStyle w:val="Refdenotaalpie"/>
          <w:rFonts w:asciiTheme="majorHAnsi" w:hAnsiTheme="majorHAnsi" w:cstheme="majorHAnsi"/>
        </w:rPr>
        <w:footnoteReference w:id="2"/>
      </w:r>
      <w:r w:rsidRPr="00431B04">
        <w:rPr>
          <w:rFonts w:asciiTheme="majorHAnsi" w:hAnsiTheme="majorHAnsi" w:cstheme="majorHAnsi"/>
        </w:rPr>
        <w:t>.</w:t>
      </w:r>
      <w:r w:rsidR="00B06B59" w:rsidRPr="00431B04">
        <w:rPr>
          <w:rFonts w:asciiTheme="majorHAnsi" w:hAnsiTheme="majorHAnsi" w:cstheme="majorHAnsi"/>
        </w:rPr>
        <w:t xml:space="preserve"> </w:t>
      </w:r>
    </w:p>
    <w:p w14:paraId="6BADD8A0" w14:textId="4A7D2C80" w:rsidR="0064410C" w:rsidRDefault="00B06B59" w:rsidP="002A4879">
      <w:pPr>
        <w:jc w:val="both"/>
        <w:rPr>
          <w:rFonts w:asciiTheme="majorHAnsi" w:hAnsiTheme="majorHAnsi" w:cstheme="majorHAnsi"/>
        </w:rPr>
      </w:pPr>
      <w:r w:rsidRPr="00431B04">
        <w:rPr>
          <w:rFonts w:asciiTheme="majorHAnsi" w:hAnsiTheme="majorHAnsi" w:cstheme="majorHAnsi"/>
        </w:rPr>
        <w:t>Entre las tare</w:t>
      </w:r>
      <w:r w:rsidR="00431B04">
        <w:rPr>
          <w:rFonts w:asciiTheme="majorHAnsi" w:hAnsiTheme="majorHAnsi" w:cstheme="majorHAnsi"/>
        </w:rPr>
        <w:t>a</w:t>
      </w:r>
      <w:r w:rsidRPr="00431B04">
        <w:rPr>
          <w:rFonts w:asciiTheme="majorHAnsi" w:hAnsiTheme="majorHAnsi" w:cstheme="majorHAnsi"/>
        </w:rPr>
        <w:t xml:space="preserve">s que realiza esta organización se encuentra la recolección de </w:t>
      </w:r>
      <w:r w:rsidR="00693F13" w:rsidRPr="00431B04">
        <w:rPr>
          <w:rFonts w:asciiTheme="majorHAnsi" w:hAnsiTheme="majorHAnsi" w:cstheme="majorHAnsi"/>
        </w:rPr>
        <w:t>datos</w:t>
      </w:r>
      <w:r w:rsidRPr="00431B04">
        <w:rPr>
          <w:rFonts w:asciiTheme="majorHAnsi" w:hAnsiTheme="majorHAnsi" w:cstheme="majorHAnsi"/>
        </w:rPr>
        <w:t xml:space="preserve"> sobre características específicas de las ocupaciones que van más allá de lo tradicional</w:t>
      </w:r>
      <w:r w:rsidR="00ED09BB">
        <w:rPr>
          <w:rFonts w:asciiTheme="majorHAnsi" w:hAnsiTheme="majorHAnsi" w:cstheme="majorHAnsi"/>
        </w:rPr>
        <w:t>;</w:t>
      </w:r>
      <w:r w:rsidR="004A511A" w:rsidRPr="00431B04">
        <w:rPr>
          <w:rFonts w:asciiTheme="majorHAnsi" w:hAnsiTheme="majorHAnsi" w:cstheme="majorHAnsi"/>
        </w:rPr>
        <w:t xml:space="preserve"> y</w:t>
      </w:r>
      <w:r w:rsidRPr="00431B04">
        <w:rPr>
          <w:rFonts w:asciiTheme="majorHAnsi" w:hAnsiTheme="majorHAnsi" w:cstheme="majorHAnsi"/>
        </w:rPr>
        <w:t xml:space="preserve"> </w:t>
      </w:r>
      <w:r w:rsidR="004A511A" w:rsidRPr="00431B04">
        <w:rPr>
          <w:rFonts w:asciiTheme="majorHAnsi" w:hAnsiTheme="majorHAnsi" w:cstheme="majorHAnsi"/>
        </w:rPr>
        <w:t>a</w:t>
      </w:r>
      <w:r w:rsidRPr="00431B04">
        <w:rPr>
          <w:rFonts w:asciiTheme="majorHAnsi" w:hAnsiTheme="majorHAnsi" w:cstheme="majorHAnsi"/>
        </w:rPr>
        <w:t xml:space="preserve">quí </w:t>
      </w:r>
      <w:r w:rsidR="004A511A" w:rsidRPr="00431B04">
        <w:rPr>
          <w:rFonts w:asciiTheme="majorHAnsi" w:hAnsiTheme="majorHAnsi" w:cstheme="majorHAnsi"/>
        </w:rPr>
        <w:t>se encuentra la proximidad física</w:t>
      </w:r>
      <w:r w:rsidR="00E24A4D" w:rsidRPr="00431B04">
        <w:rPr>
          <w:rStyle w:val="Refdenotaalpie"/>
          <w:rFonts w:asciiTheme="majorHAnsi" w:hAnsiTheme="majorHAnsi" w:cstheme="majorHAnsi"/>
        </w:rPr>
        <w:footnoteReference w:id="3"/>
      </w:r>
      <w:r w:rsidR="004A511A" w:rsidRPr="00431B04">
        <w:rPr>
          <w:rFonts w:asciiTheme="majorHAnsi" w:hAnsiTheme="majorHAnsi" w:cstheme="majorHAnsi"/>
        </w:rPr>
        <w:t>.</w:t>
      </w:r>
      <w:r w:rsidR="00251D8D" w:rsidRPr="00431B04">
        <w:rPr>
          <w:rFonts w:asciiTheme="majorHAnsi" w:hAnsiTheme="majorHAnsi" w:cstheme="majorHAnsi"/>
        </w:rPr>
        <w:t xml:space="preserve"> Este indicador se elabora para cada ocupación</w:t>
      </w:r>
      <w:r w:rsidR="00FE3B8D" w:rsidRPr="00431B04">
        <w:rPr>
          <w:rFonts w:asciiTheme="majorHAnsi" w:hAnsiTheme="majorHAnsi" w:cstheme="majorHAnsi"/>
        </w:rPr>
        <w:t xml:space="preserve">; </w:t>
      </w:r>
      <w:proofErr w:type="gramStart"/>
      <w:r w:rsidR="00693F13" w:rsidRPr="00431B04">
        <w:rPr>
          <w:rFonts w:asciiTheme="majorHAnsi" w:hAnsiTheme="majorHAnsi" w:cstheme="majorHAnsi"/>
        </w:rPr>
        <w:t>pero,</w:t>
      </w:r>
      <w:proofErr w:type="gramEnd"/>
      <w:r w:rsidR="00693F13" w:rsidRPr="00431B04">
        <w:rPr>
          <w:rFonts w:asciiTheme="majorHAnsi" w:hAnsiTheme="majorHAnsi" w:cstheme="majorHAnsi"/>
        </w:rPr>
        <w:t xml:space="preserve"> </w:t>
      </w:r>
      <w:r w:rsidR="00FE3B8D" w:rsidRPr="00431B04">
        <w:rPr>
          <w:rFonts w:asciiTheme="majorHAnsi" w:hAnsiTheme="majorHAnsi" w:cstheme="majorHAnsi"/>
        </w:rPr>
        <w:t>¿qué significa “cada ocupación”?</w:t>
      </w:r>
      <w:r w:rsidR="004702A8" w:rsidRPr="00431B04">
        <w:rPr>
          <w:rFonts w:asciiTheme="majorHAnsi" w:hAnsiTheme="majorHAnsi" w:cstheme="majorHAnsi"/>
        </w:rPr>
        <w:t xml:space="preserve"> O*NET tiene una clasificación de ocupaciones propia que proviene de </w:t>
      </w:r>
      <w:r w:rsidR="005552CE" w:rsidRPr="00431B04">
        <w:rPr>
          <w:rFonts w:asciiTheme="majorHAnsi" w:hAnsiTheme="majorHAnsi" w:cstheme="majorHAnsi"/>
        </w:rPr>
        <w:t>otra usada en Estados Unidos</w:t>
      </w:r>
      <w:r w:rsidR="00A13324" w:rsidRPr="00431B04">
        <w:rPr>
          <w:rFonts w:asciiTheme="majorHAnsi" w:hAnsiTheme="majorHAnsi" w:cstheme="majorHAnsi"/>
        </w:rPr>
        <w:t>; esta es la clasificación SOC</w:t>
      </w:r>
      <w:r w:rsidR="00AF3876">
        <w:rPr>
          <w:rFonts w:asciiTheme="majorHAnsi" w:hAnsiTheme="majorHAnsi" w:cstheme="majorHAnsi"/>
        </w:rPr>
        <w:t xml:space="preserve">, </w:t>
      </w:r>
      <w:r w:rsidR="0024489B">
        <w:rPr>
          <w:rFonts w:asciiTheme="majorHAnsi" w:hAnsiTheme="majorHAnsi" w:cstheme="majorHAnsi"/>
        </w:rPr>
        <w:t xml:space="preserve">la cual </w:t>
      </w:r>
      <w:r w:rsidR="0064410C" w:rsidRPr="0064410C">
        <w:rPr>
          <w:rFonts w:asciiTheme="majorHAnsi" w:hAnsiTheme="majorHAnsi" w:cstheme="majorHAnsi"/>
        </w:rPr>
        <w:t>«...es un sistema de clasificación de ocupaciones del gobierno de los Estados Unidos. Utilizado por agencias del gobierno federal de EE. UU. para recopilar datos ocupacionales, lo que permite la comparación de ocupaciones entre conjuntos de datos. Diseñado para cubrir todas las ocupaciones en las que el trabajo se realiza por paga o ganancia, reflejando la estructura ocupacional actual en los Estados Unidos. El SOC 2010 incluye 840 tipos ocupacionales»</w:t>
      </w:r>
      <w:r w:rsidR="00AF3876" w:rsidRPr="00431B04">
        <w:rPr>
          <w:rStyle w:val="Refdenotaalpie"/>
          <w:rFonts w:asciiTheme="majorHAnsi" w:hAnsiTheme="majorHAnsi" w:cstheme="majorHAnsi"/>
        </w:rPr>
        <w:footnoteReference w:id="4"/>
      </w:r>
      <w:r w:rsidR="00E00D03">
        <w:rPr>
          <w:rFonts w:asciiTheme="majorHAnsi" w:hAnsiTheme="majorHAnsi" w:cstheme="majorHAnsi"/>
        </w:rPr>
        <w:t>.</w:t>
      </w:r>
    </w:p>
    <w:p w14:paraId="2361E0E8" w14:textId="03D8F573" w:rsidR="00C225B5" w:rsidRPr="00431B04" w:rsidRDefault="00782338" w:rsidP="002A4879">
      <w:pPr>
        <w:jc w:val="both"/>
        <w:rPr>
          <w:rFonts w:asciiTheme="majorHAnsi" w:hAnsiTheme="majorHAnsi" w:cstheme="majorHAnsi"/>
        </w:rPr>
      </w:pPr>
      <w:r>
        <w:rPr>
          <w:rFonts w:asciiTheme="majorHAnsi" w:hAnsiTheme="majorHAnsi" w:cstheme="majorHAnsi"/>
        </w:rPr>
        <w:t>H</w:t>
      </w:r>
      <w:r w:rsidR="004702A8" w:rsidRPr="00431B04">
        <w:rPr>
          <w:rFonts w:asciiTheme="majorHAnsi" w:hAnsiTheme="majorHAnsi" w:cstheme="majorHAnsi"/>
        </w:rPr>
        <w:t xml:space="preserve">acemos referencia a las </w:t>
      </w:r>
      <w:r>
        <w:rPr>
          <w:rFonts w:asciiTheme="majorHAnsi" w:hAnsiTheme="majorHAnsi" w:cstheme="majorHAnsi"/>
        </w:rPr>
        <w:t xml:space="preserve">ocupaciones </w:t>
      </w:r>
      <w:r w:rsidR="004702A8" w:rsidRPr="00431B04">
        <w:rPr>
          <w:rFonts w:asciiTheme="majorHAnsi" w:hAnsiTheme="majorHAnsi" w:cstheme="majorHAnsi"/>
        </w:rPr>
        <w:t xml:space="preserve">que se encuentran </w:t>
      </w:r>
      <w:r w:rsidR="00F95A78" w:rsidRPr="00431B04">
        <w:rPr>
          <w:rFonts w:asciiTheme="majorHAnsi" w:hAnsiTheme="majorHAnsi" w:cstheme="majorHAnsi"/>
        </w:rPr>
        <w:t>en esta última. Sin e</w:t>
      </w:r>
      <w:r w:rsidR="003E104B">
        <w:rPr>
          <w:rFonts w:asciiTheme="majorHAnsi" w:hAnsiTheme="majorHAnsi" w:cstheme="majorHAnsi"/>
        </w:rPr>
        <w:t>m</w:t>
      </w:r>
      <w:r w:rsidR="00F95A78" w:rsidRPr="00431B04">
        <w:rPr>
          <w:rFonts w:asciiTheme="majorHAnsi" w:hAnsiTheme="majorHAnsi" w:cstheme="majorHAnsi"/>
        </w:rPr>
        <w:t xml:space="preserve">bargo, </w:t>
      </w:r>
      <w:r w:rsidR="00371AA0">
        <w:rPr>
          <w:rFonts w:asciiTheme="majorHAnsi" w:hAnsiTheme="majorHAnsi" w:cstheme="majorHAnsi"/>
        </w:rPr>
        <w:t xml:space="preserve">como ha </w:t>
      </w:r>
      <w:r w:rsidR="00AE243F">
        <w:rPr>
          <w:rFonts w:asciiTheme="majorHAnsi" w:hAnsiTheme="majorHAnsi" w:cstheme="majorHAnsi"/>
        </w:rPr>
        <w:t xml:space="preserve">sido </w:t>
      </w:r>
      <w:r w:rsidR="00371AA0">
        <w:rPr>
          <w:rFonts w:asciiTheme="majorHAnsi" w:hAnsiTheme="majorHAnsi" w:cstheme="majorHAnsi"/>
        </w:rPr>
        <w:t>expuest</w:t>
      </w:r>
      <w:r w:rsidR="00AE243F">
        <w:rPr>
          <w:rFonts w:asciiTheme="majorHAnsi" w:hAnsiTheme="majorHAnsi" w:cstheme="majorHAnsi"/>
        </w:rPr>
        <w:t>o</w:t>
      </w:r>
      <w:r w:rsidR="00371AA0">
        <w:rPr>
          <w:rFonts w:asciiTheme="majorHAnsi" w:hAnsiTheme="majorHAnsi" w:cstheme="majorHAnsi"/>
        </w:rPr>
        <w:t xml:space="preserve">, </w:t>
      </w:r>
      <w:r w:rsidR="00F95A78" w:rsidRPr="00431B04">
        <w:rPr>
          <w:rFonts w:asciiTheme="majorHAnsi" w:hAnsiTheme="majorHAnsi" w:cstheme="majorHAnsi"/>
        </w:rPr>
        <w:t xml:space="preserve">la clasificación SOC es propia de Estados Unidos y no es posible emparejarla con </w:t>
      </w:r>
      <w:r w:rsidR="00ED09BB">
        <w:rPr>
          <w:rFonts w:asciiTheme="majorHAnsi" w:hAnsiTheme="majorHAnsi" w:cstheme="majorHAnsi"/>
        </w:rPr>
        <w:t>aquella</w:t>
      </w:r>
      <w:r w:rsidR="00F95A78" w:rsidRPr="00431B04">
        <w:rPr>
          <w:rFonts w:asciiTheme="majorHAnsi" w:hAnsiTheme="majorHAnsi" w:cstheme="majorHAnsi"/>
        </w:rPr>
        <w:t xml:space="preserve"> que </w:t>
      </w:r>
      <w:r w:rsidR="00ED09BB">
        <w:rPr>
          <w:rFonts w:asciiTheme="majorHAnsi" w:hAnsiTheme="majorHAnsi" w:cstheme="majorHAnsi"/>
        </w:rPr>
        <w:t xml:space="preserve">emplea </w:t>
      </w:r>
      <w:r w:rsidR="00F95A78" w:rsidRPr="00431B04">
        <w:rPr>
          <w:rFonts w:asciiTheme="majorHAnsi" w:hAnsiTheme="majorHAnsi" w:cstheme="majorHAnsi"/>
        </w:rPr>
        <w:t xml:space="preserve">INEI </w:t>
      </w:r>
      <w:r w:rsidR="00ED09BB">
        <w:rPr>
          <w:rFonts w:asciiTheme="majorHAnsi" w:hAnsiTheme="majorHAnsi" w:cstheme="majorHAnsi"/>
        </w:rPr>
        <w:t xml:space="preserve">en Perú </w:t>
      </w:r>
      <w:r w:rsidR="00F95A78" w:rsidRPr="00431B04">
        <w:rPr>
          <w:rFonts w:asciiTheme="majorHAnsi" w:hAnsiTheme="majorHAnsi" w:cstheme="majorHAnsi"/>
        </w:rPr>
        <w:t>directamente</w:t>
      </w:r>
      <w:r w:rsidR="00191442" w:rsidRPr="00431B04">
        <w:rPr>
          <w:rStyle w:val="Refdenotaalpie"/>
          <w:rFonts w:asciiTheme="majorHAnsi" w:hAnsiTheme="majorHAnsi" w:cstheme="majorHAnsi"/>
        </w:rPr>
        <w:footnoteReference w:id="5"/>
      </w:r>
      <w:r w:rsidR="00ED09BB">
        <w:rPr>
          <w:rFonts w:asciiTheme="majorHAnsi" w:hAnsiTheme="majorHAnsi" w:cstheme="majorHAnsi"/>
        </w:rPr>
        <w:t>.</w:t>
      </w:r>
      <w:r w:rsidR="00F95A78" w:rsidRPr="00431B04">
        <w:rPr>
          <w:rFonts w:asciiTheme="majorHAnsi" w:hAnsiTheme="majorHAnsi" w:cstheme="majorHAnsi"/>
        </w:rPr>
        <w:t xml:space="preserve"> Tenemos</w:t>
      </w:r>
      <w:r w:rsidR="00ED09BB">
        <w:rPr>
          <w:rFonts w:asciiTheme="majorHAnsi" w:hAnsiTheme="majorHAnsi" w:cstheme="majorHAnsi"/>
        </w:rPr>
        <w:t>, entonces,</w:t>
      </w:r>
      <w:r w:rsidR="00F95A78" w:rsidRPr="00431B04">
        <w:rPr>
          <w:rFonts w:asciiTheme="majorHAnsi" w:hAnsiTheme="majorHAnsi" w:cstheme="majorHAnsi"/>
        </w:rPr>
        <w:t xml:space="preserve"> que encontrar una </w:t>
      </w:r>
      <w:r w:rsidR="00ED09BB">
        <w:rPr>
          <w:rFonts w:asciiTheme="majorHAnsi" w:hAnsiTheme="majorHAnsi" w:cstheme="majorHAnsi"/>
        </w:rPr>
        <w:t xml:space="preserve">forma </w:t>
      </w:r>
      <w:r w:rsidR="00F95A78" w:rsidRPr="00431B04">
        <w:rPr>
          <w:rFonts w:asciiTheme="majorHAnsi" w:hAnsiTheme="majorHAnsi" w:cstheme="majorHAnsi"/>
        </w:rPr>
        <w:t>de lograr este objetivo</w:t>
      </w:r>
      <w:r w:rsidR="00A75C73">
        <w:rPr>
          <w:rFonts w:asciiTheme="majorHAnsi" w:hAnsiTheme="majorHAnsi" w:cstheme="majorHAnsi"/>
        </w:rPr>
        <w:t>;</w:t>
      </w:r>
      <w:r w:rsidR="00F95A78" w:rsidRPr="00431B04">
        <w:rPr>
          <w:rFonts w:asciiTheme="majorHAnsi" w:hAnsiTheme="majorHAnsi" w:cstheme="majorHAnsi"/>
        </w:rPr>
        <w:t xml:space="preserve"> y esta es a través de alguna clasificación internacional de ocupaciones</w:t>
      </w:r>
      <w:r w:rsidR="002A4879" w:rsidRPr="00431B04">
        <w:rPr>
          <w:rFonts w:asciiTheme="majorHAnsi" w:hAnsiTheme="majorHAnsi" w:cstheme="majorHAnsi"/>
        </w:rPr>
        <w:t>.</w:t>
      </w:r>
    </w:p>
    <w:p w14:paraId="3583D7F2" w14:textId="7563D3C1" w:rsidR="00DD7D12" w:rsidRPr="00431B04" w:rsidRDefault="00B43C2D" w:rsidP="006A334B">
      <w:pPr>
        <w:spacing w:after="0"/>
        <w:jc w:val="both"/>
        <w:rPr>
          <w:rFonts w:asciiTheme="majorHAnsi" w:hAnsiTheme="majorHAnsi" w:cstheme="majorHAnsi"/>
        </w:rPr>
      </w:pPr>
      <w:r>
        <w:rPr>
          <w:rFonts w:asciiTheme="majorHAnsi" w:hAnsiTheme="majorHAnsi" w:cstheme="majorHAnsi"/>
        </w:rPr>
        <w:lastRenderedPageBreak/>
        <w:t>Aquí n</w:t>
      </w:r>
      <w:r w:rsidR="006D6378" w:rsidRPr="00431B04">
        <w:rPr>
          <w:rFonts w:asciiTheme="majorHAnsi" w:hAnsiTheme="majorHAnsi" w:cstheme="majorHAnsi"/>
        </w:rPr>
        <w:t>os</w:t>
      </w:r>
      <w:r w:rsidR="0020640A" w:rsidRPr="00431B04">
        <w:rPr>
          <w:rFonts w:asciiTheme="majorHAnsi" w:hAnsiTheme="majorHAnsi" w:cstheme="majorHAnsi"/>
        </w:rPr>
        <w:t xml:space="preserve"> </w:t>
      </w:r>
      <w:r>
        <w:rPr>
          <w:rFonts w:asciiTheme="majorHAnsi" w:hAnsiTheme="majorHAnsi" w:cstheme="majorHAnsi"/>
        </w:rPr>
        <w:t xml:space="preserve">encontramos </w:t>
      </w:r>
      <w:r w:rsidR="006D6378" w:rsidRPr="00431B04">
        <w:rPr>
          <w:rFonts w:asciiTheme="majorHAnsi" w:hAnsiTheme="majorHAnsi" w:cstheme="majorHAnsi"/>
        </w:rPr>
        <w:t xml:space="preserve">con </w:t>
      </w:r>
      <w:r w:rsidR="0020640A" w:rsidRPr="00431B04">
        <w:rPr>
          <w:rFonts w:asciiTheme="majorHAnsi" w:hAnsiTheme="majorHAnsi" w:cstheme="majorHAnsi"/>
        </w:rPr>
        <w:t xml:space="preserve">la </w:t>
      </w:r>
      <w:r w:rsidR="002A4879" w:rsidRPr="00431B04">
        <w:rPr>
          <w:rFonts w:asciiTheme="majorHAnsi" w:hAnsiTheme="majorHAnsi" w:cstheme="majorHAnsi"/>
        </w:rPr>
        <w:t>clasificación ISCO</w:t>
      </w:r>
      <w:r w:rsidR="003B242C" w:rsidRPr="00431B04">
        <w:rPr>
          <w:rFonts w:asciiTheme="majorHAnsi" w:hAnsiTheme="majorHAnsi" w:cstheme="majorHAnsi"/>
        </w:rPr>
        <w:t xml:space="preserve"> </w:t>
      </w:r>
      <w:r w:rsidR="006D6378" w:rsidRPr="00431B04">
        <w:rPr>
          <w:rFonts w:asciiTheme="majorHAnsi" w:hAnsiTheme="majorHAnsi" w:cstheme="majorHAnsi"/>
        </w:rPr>
        <w:t xml:space="preserve">08 </w:t>
      </w:r>
      <w:r w:rsidR="002A4879" w:rsidRPr="00431B04">
        <w:rPr>
          <w:rFonts w:asciiTheme="majorHAnsi" w:hAnsiTheme="majorHAnsi" w:cstheme="majorHAnsi"/>
        </w:rPr>
        <w:t>de la Organización Internacional del Trabajo (OIT)</w:t>
      </w:r>
      <w:r w:rsidR="002A4879" w:rsidRPr="00431B04">
        <w:rPr>
          <w:rStyle w:val="Refdenotaalpie"/>
          <w:rFonts w:asciiTheme="majorHAnsi" w:hAnsiTheme="majorHAnsi" w:cstheme="majorHAnsi"/>
        </w:rPr>
        <w:footnoteReference w:id="6"/>
      </w:r>
      <w:r>
        <w:rPr>
          <w:rFonts w:asciiTheme="majorHAnsi" w:hAnsiTheme="majorHAnsi" w:cstheme="majorHAnsi"/>
        </w:rPr>
        <w:t>.</w:t>
      </w:r>
      <w:r w:rsidR="006861A4" w:rsidRPr="00431B04">
        <w:rPr>
          <w:rFonts w:asciiTheme="majorHAnsi" w:hAnsiTheme="majorHAnsi" w:cstheme="majorHAnsi"/>
        </w:rPr>
        <w:t xml:space="preserve"> </w:t>
      </w:r>
      <w:r w:rsidR="007D65D9" w:rsidRPr="00431B04">
        <w:rPr>
          <w:rFonts w:asciiTheme="majorHAnsi" w:hAnsiTheme="majorHAnsi" w:cstheme="majorHAnsi"/>
        </w:rPr>
        <w:t xml:space="preserve">Esta nos permite encontrar </w:t>
      </w:r>
      <w:r w:rsidR="00B10CE8" w:rsidRPr="00431B04">
        <w:rPr>
          <w:rFonts w:asciiTheme="majorHAnsi" w:hAnsiTheme="majorHAnsi" w:cstheme="majorHAnsi"/>
        </w:rPr>
        <w:t>el</w:t>
      </w:r>
      <w:r w:rsidR="007D65D9" w:rsidRPr="00431B04">
        <w:rPr>
          <w:rFonts w:asciiTheme="majorHAnsi" w:hAnsiTheme="majorHAnsi" w:cstheme="majorHAnsi"/>
        </w:rPr>
        <w:t xml:space="preserve"> vínculo entre las clasificaciones de Estados Unidos y Perú</w:t>
      </w:r>
      <w:r w:rsidR="00B10CE8" w:rsidRPr="00431B04">
        <w:rPr>
          <w:rStyle w:val="Refdenotaalpie"/>
          <w:rFonts w:asciiTheme="majorHAnsi" w:hAnsiTheme="majorHAnsi" w:cstheme="majorHAnsi"/>
        </w:rPr>
        <w:footnoteReference w:id="7"/>
      </w:r>
      <w:r w:rsidR="00674519">
        <w:rPr>
          <w:rFonts w:asciiTheme="majorHAnsi" w:hAnsiTheme="majorHAnsi" w:cstheme="majorHAnsi"/>
        </w:rPr>
        <w:t>.</w:t>
      </w:r>
      <w:r w:rsidR="00E14426" w:rsidRPr="00431B04">
        <w:rPr>
          <w:rFonts w:asciiTheme="majorHAnsi" w:hAnsiTheme="majorHAnsi" w:cstheme="majorHAnsi"/>
        </w:rPr>
        <w:t xml:space="preserve"> Ahora, esto redunda en que los nombres de las ocupaciones se convierten en códigos de ocupaciones; y podemos emparejar</w:t>
      </w:r>
      <w:r w:rsidR="00674519">
        <w:rPr>
          <w:rFonts w:asciiTheme="majorHAnsi" w:hAnsiTheme="majorHAnsi" w:cstheme="majorHAnsi"/>
        </w:rPr>
        <w:t xml:space="preserve"> aquellos que tenemos </w:t>
      </w:r>
      <w:r w:rsidR="00E14426" w:rsidRPr="00431B04">
        <w:rPr>
          <w:rFonts w:asciiTheme="majorHAnsi" w:hAnsiTheme="majorHAnsi" w:cstheme="majorHAnsi"/>
        </w:rPr>
        <w:t xml:space="preserve">en Perú con las ocupaciones en EE. UU.  Finalmente, como estas últimas </w:t>
      </w:r>
      <w:r w:rsidR="00535805">
        <w:rPr>
          <w:rFonts w:asciiTheme="majorHAnsi" w:hAnsiTheme="majorHAnsi" w:cstheme="majorHAnsi"/>
        </w:rPr>
        <w:t xml:space="preserve">ya </w:t>
      </w:r>
      <w:r w:rsidR="00E14426" w:rsidRPr="00431B04">
        <w:rPr>
          <w:rFonts w:asciiTheme="majorHAnsi" w:hAnsiTheme="majorHAnsi" w:cstheme="majorHAnsi"/>
        </w:rPr>
        <w:t xml:space="preserve">tienen un indicador de proximidad </w:t>
      </w:r>
      <w:r w:rsidR="00535805">
        <w:rPr>
          <w:rFonts w:asciiTheme="majorHAnsi" w:hAnsiTheme="majorHAnsi" w:cstheme="majorHAnsi"/>
        </w:rPr>
        <w:t>física estimado</w:t>
      </w:r>
      <w:r w:rsidR="00E14426" w:rsidRPr="00431B04">
        <w:rPr>
          <w:rFonts w:asciiTheme="majorHAnsi" w:hAnsiTheme="majorHAnsi" w:cstheme="majorHAnsi"/>
        </w:rPr>
        <w:t xml:space="preserve">, podemos </w:t>
      </w:r>
      <w:r w:rsidR="005A1CB3">
        <w:rPr>
          <w:rFonts w:asciiTheme="majorHAnsi" w:hAnsiTheme="majorHAnsi" w:cstheme="majorHAnsi"/>
        </w:rPr>
        <w:t xml:space="preserve">hacer un </w:t>
      </w:r>
      <w:r w:rsidR="005A1CB3" w:rsidRPr="005A1CB3">
        <w:rPr>
          <w:rFonts w:asciiTheme="majorHAnsi" w:hAnsiTheme="majorHAnsi" w:cstheme="majorHAnsi"/>
          <w:i/>
          <w:iCs/>
        </w:rPr>
        <w:t>match</w:t>
      </w:r>
      <w:r w:rsidR="005A1CB3">
        <w:rPr>
          <w:rFonts w:asciiTheme="majorHAnsi" w:hAnsiTheme="majorHAnsi" w:cstheme="majorHAnsi"/>
        </w:rPr>
        <w:t xml:space="preserve"> con </w:t>
      </w:r>
      <w:r w:rsidR="00116533" w:rsidRPr="00431B04">
        <w:rPr>
          <w:rFonts w:asciiTheme="majorHAnsi" w:hAnsiTheme="majorHAnsi" w:cstheme="majorHAnsi"/>
        </w:rPr>
        <w:t xml:space="preserve">la información </w:t>
      </w:r>
      <w:r w:rsidR="005A1CB3">
        <w:rPr>
          <w:rFonts w:asciiTheme="majorHAnsi" w:hAnsiTheme="majorHAnsi" w:cstheme="majorHAnsi"/>
        </w:rPr>
        <w:t xml:space="preserve">para Perú que obtenemos a través de </w:t>
      </w:r>
      <w:r w:rsidR="00116533" w:rsidRPr="00431B04">
        <w:rPr>
          <w:rFonts w:asciiTheme="majorHAnsi" w:hAnsiTheme="majorHAnsi" w:cstheme="majorHAnsi"/>
        </w:rPr>
        <w:t>la ENAHO</w:t>
      </w:r>
      <w:r w:rsidR="001E7F28">
        <w:rPr>
          <w:rFonts w:asciiTheme="majorHAnsi" w:hAnsiTheme="majorHAnsi" w:cstheme="majorHAnsi"/>
        </w:rPr>
        <w:t>.</w:t>
      </w:r>
    </w:p>
    <w:p w14:paraId="30A5B06B" w14:textId="72DCFC3A" w:rsidR="00026D9E" w:rsidRPr="00431B04" w:rsidRDefault="005A2F30" w:rsidP="00EA7F32">
      <w:pPr>
        <w:spacing w:after="0"/>
        <w:jc w:val="both"/>
        <w:rPr>
          <w:rFonts w:asciiTheme="majorHAnsi" w:hAnsiTheme="majorHAnsi" w:cstheme="majorHAnsi"/>
        </w:rPr>
        <w:sectPr w:rsidR="00026D9E" w:rsidRPr="00431B04" w:rsidSect="00285B69">
          <w:type w:val="continuous"/>
          <w:pgSz w:w="11906" w:h="16838"/>
          <w:pgMar w:top="1440" w:right="1440" w:bottom="1440" w:left="1440" w:header="708" w:footer="708" w:gutter="0"/>
          <w:cols w:num="2" w:space="566"/>
          <w:docGrid w:linePitch="360"/>
        </w:sectPr>
      </w:pPr>
      <w:r w:rsidRPr="00431B04">
        <w:rPr>
          <w:rFonts w:asciiTheme="majorHAnsi" w:hAnsiTheme="majorHAnsi" w:cstheme="majorHAnsi"/>
        </w:rPr>
        <w:t xml:space="preserve">Ahora, la ENAHO proporciona </w:t>
      </w:r>
      <w:r w:rsidR="00983323">
        <w:rPr>
          <w:rFonts w:asciiTheme="majorHAnsi" w:hAnsiTheme="majorHAnsi" w:cstheme="majorHAnsi"/>
        </w:rPr>
        <w:t>los datos</w:t>
      </w:r>
      <w:r w:rsidRPr="00431B04">
        <w:rPr>
          <w:rFonts w:asciiTheme="majorHAnsi" w:hAnsiTheme="majorHAnsi" w:cstheme="majorHAnsi"/>
        </w:rPr>
        <w:t xml:space="preserve"> sobre </w:t>
      </w:r>
      <w:r w:rsidR="00983323">
        <w:rPr>
          <w:rFonts w:asciiTheme="majorHAnsi" w:hAnsiTheme="majorHAnsi" w:cstheme="majorHAnsi"/>
        </w:rPr>
        <w:t xml:space="preserve">las </w:t>
      </w:r>
      <w:r w:rsidRPr="00431B04">
        <w:rPr>
          <w:rFonts w:asciiTheme="majorHAnsi" w:hAnsiTheme="majorHAnsi" w:cstheme="majorHAnsi"/>
        </w:rPr>
        <w:t>ocupaci</w:t>
      </w:r>
      <w:r w:rsidR="00983323">
        <w:rPr>
          <w:rFonts w:asciiTheme="majorHAnsi" w:hAnsiTheme="majorHAnsi" w:cstheme="majorHAnsi"/>
        </w:rPr>
        <w:t>o</w:t>
      </w:r>
      <w:r w:rsidRPr="00431B04">
        <w:rPr>
          <w:rFonts w:asciiTheme="majorHAnsi" w:hAnsiTheme="majorHAnsi" w:cstheme="majorHAnsi"/>
        </w:rPr>
        <w:t>n</w:t>
      </w:r>
      <w:r w:rsidR="00983323">
        <w:rPr>
          <w:rFonts w:asciiTheme="majorHAnsi" w:hAnsiTheme="majorHAnsi" w:cstheme="majorHAnsi"/>
        </w:rPr>
        <w:t xml:space="preserve">es o actividades que </w:t>
      </w:r>
      <w:r w:rsidRPr="00431B04">
        <w:rPr>
          <w:rFonts w:asciiTheme="majorHAnsi" w:hAnsiTheme="majorHAnsi" w:cstheme="majorHAnsi"/>
        </w:rPr>
        <w:t xml:space="preserve">realiza el trabajador </w:t>
      </w:r>
      <w:r w:rsidR="00297FA8">
        <w:rPr>
          <w:rFonts w:asciiTheme="majorHAnsi" w:hAnsiTheme="majorHAnsi" w:cstheme="majorHAnsi"/>
        </w:rPr>
        <w:t xml:space="preserve">peruano </w:t>
      </w:r>
      <w:r w:rsidRPr="00431B04">
        <w:rPr>
          <w:rFonts w:asciiTheme="majorHAnsi" w:hAnsiTheme="majorHAnsi" w:cstheme="majorHAnsi"/>
        </w:rPr>
        <w:t>y en qué sector se desempeña. A</w:t>
      </w:r>
      <w:r w:rsidR="005A1CB3">
        <w:rPr>
          <w:rFonts w:asciiTheme="majorHAnsi" w:hAnsiTheme="majorHAnsi" w:cstheme="majorHAnsi"/>
        </w:rPr>
        <w:t>sí, pues</w:t>
      </w:r>
      <w:r w:rsidRPr="00431B04">
        <w:rPr>
          <w:rFonts w:asciiTheme="majorHAnsi" w:hAnsiTheme="majorHAnsi" w:cstheme="majorHAnsi"/>
        </w:rPr>
        <w:t>, obtenemos los sectores y e índices de proximidad física en cada uno de ellos.</w:t>
      </w:r>
      <w:r w:rsidR="00E7217D" w:rsidRPr="00431B04">
        <w:rPr>
          <w:rFonts w:asciiTheme="majorHAnsi" w:hAnsiTheme="majorHAnsi" w:cstheme="majorHAnsi"/>
        </w:rPr>
        <w:t xml:space="preserve"> Además, podemos obtener indicadores que reflejen el ingreso </w:t>
      </w:r>
      <w:r w:rsidR="005F7578" w:rsidRPr="00431B04">
        <w:rPr>
          <w:rFonts w:asciiTheme="majorHAnsi" w:hAnsiTheme="majorHAnsi" w:cstheme="majorHAnsi"/>
        </w:rPr>
        <w:t>bruto</w:t>
      </w:r>
      <w:r w:rsidR="00E7217D" w:rsidRPr="00431B04">
        <w:rPr>
          <w:rFonts w:asciiTheme="majorHAnsi" w:hAnsiTheme="majorHAnsi" w:cstheme="majorHAnsi"/>
        </w:rPr>
        <w:t xml:space="preserve"> promedio de la población ocupada por sector</w:t>
      </w:r>
      <w:r w:rsidR="00DE4A26" w:rsidRPr="00431B04">
        <w:rPr>
          <w:rFonts w:asciiTheme="majorHAnsi" w:hAnsiTheme="majorHAnsi" w:cstheme="majorHAnsi"/>
        </w:rPr>
        <w:t>,</w:t>
      </w:r>
      <w:r w:rsidR="00E7217D" w:rsidRPr="00431B04">
        <w:rPr>
          <w:rFonts w:asciiTheme="majorHAnsi" w:hAnsiTheme="majorHAnsi" w:cstheme="majorHAnsi"/>
        </w:rPr>
        <w:t xml:space="preserve"> el número de ocupados en cada uno de ellos</w:t>
      </w:r>
      <w:r w:rsidR="00DE4A26" w:rsidRPr="00431B04">
        <w:rPr>
          <w:rFonts w:asciiTheme="majorHAnsi" w:hAnsiTheme="majorHAnsi" w:cstheme="majorHAnsi"/>
        </w:rPr>
        <w:t xml:space="preserve">, la participación del sector en el Valor Agregado Bruto </w:t>
      </w:r>
      <w:r w:rsidR="00480C56" w:rsidRPr="00431B04">
        <w:rPr>
          <w:rFonts w:asciiTheme="majorHAnsi" w:hAnsiTheme="majorHAnsi" w:cstheme="majorHAnsi"/>
        </w:rPr>
        <w:t>(</w:t>
      </w:r>
      <w:r w:rsidR="00701E87" w:rsidRPr="00431B04">
        <w:rPr>
          <w:rFonts w:asciiTheme="majorHAnsi" w:hAnsiTheme="majorHAnsi" w:cstheme="majorHAnsi"/>
        </w:rPr>
        <w:t xml:space="preserve">VAB) </w:t>
      </w:r>
      <w:r w:rsidR="00DE4A26" w:rsidRPr="00431B04">
        <w:rPr>
          <w:rFonts w:asciiTheme="majorHAnsi" w:hAnsiTheme="majorHAnsi" w:cstheme="majorHAnsi"/>
        </w:rPr>
        <w:t>nacional</w:t>
      </w:r>
      <w:r w:rsidR="00C3444B">
        <w:rPr>
          <w:rFonts w:asciiTheme="majorHAnsi" w:hAnsiTheme="majorHAnsi" w:cstheme="majorHAnsi"/>
        </w:rPr>
        <w:t>, entre otr</w:t>
      </w:r>
      <w:r w:rsidR="00611E5F">
        <w:rPr>
          <w:rFonts w:asciiTheme="majorHAnsi" w:hAnsiTheme="majorHAnsi" w:cstheme="majorHAnsi"/>
        </w:rPr>
        <w:t>o</w:t>
      </w:r>
      <w:r w:rsidR="00C3444B">
        <w:rPr>
          <w:rFonts w:asciiTheme="majorHAnsi" w:hAnsiTheme="majorHAnsi" w:cstheme="majorHAnsi"/>
        </w:rPr>
        <w:t>s.</w:t>
      </w:r>
      <w:r w:rsidR="00EA7F32">
        <w:rPr>
          <w:rFonts w:asciiTheme="majorHAnsi" w:hAnsiTheme="majorHAnsi" w:cstheme="majorHAnsi"/>
        </w:rPr>
        <w:t xml:space="preserve"> </w:t>
      </w:r>
    </w:p>
    <w:p w14:paraId="279F5F1A" w14:textId="77777777" w:rsidR="00475B34" w:rsidRPr="00431B04" w:rsidRDefault="00475B34" w:rsidP="006F283A">
      <w:pPr>
        <w:spacing w:after="0" w:line="240" w:lineRule="auto"/>
        <w:rPr>
          <w:rFonts w:asciiTheme="majorHAnsi" w:hAnsiTheme="majorHAnsi" w:cstheme="majorHAnsi"/>
        </w:rPr>
        <w:sectPr w:rsidR="00475B34" w:rsidRPr="00431B04" w:rsidSect="00475B34">
          <w:type w:val="continuous"/>
          <w:pgSz w:w="11906" w:h="16838"/>
          <w:pgMar w:top="1440" w:right="1440" w:bottom="1440" w:left="1440" w:header="708" w:footer="708" w:gutter="0"/>
          <w:cols w:space="708"/>
          <w:docGrid w:linePitch="360"/>
        </w:sectPr>
      </w:pPr>
    </w:p>
    <w:p w14:paraId="41E4C383" w14:textId="30DE38CA" w:rsidR="000A45B7" w:rsidRPr="00431B04" w:rsidRDefault="00E350E5" w:rsidP="00430C19">
      <w:pPr>
        <w:spacing w:after="0"/>
        <w:ind w:left="851" w:right="804"/>
        <w:jc w:val="center"/>
        <w:rPr>
          <w:rFonts w:asciiTheme="majorHAnsi" w:hAnsiTheme="majorHAnsi" w:cstheme="majorHAnsi"/>
          <w:sz w:val="20"/>
          <w:szCs w:val="20"/>
        </w:rPr>
      </w:pPr>
      <w:r w:rsidRPr="00431B04">
        <w:rPr>
          <w:rFonts w:asciiTheme="majorHAnsi" w:hAnsiTheme="majorHAnsi" w:cstheme="majorHAnsi"/>
          <w:sz w:val="20"/>
          <w:szCs w:val="20"/>
        </w:rPr>
        <w:t xml:space="preserve">Gráfico 1. </w:t>
      </w:r>
      <w:r w:rsidR="0090054B" w:rsidRPr="00431B04">
        <w:rPr>
          <w:rFonts w:asciiTheme="majorHAnsi" w:hAnsiTheme="majorHAnsi" w:cstheme="majorHAnsi"/>
          <w:sz w:val="20"/>
          <w:szCs w:val="20"/>
        </w:rPr>
        <w:t>Índice de proximidad (</w:t>
      </w:r>
      <m:oMath>
        <m:r>
          <w:rPr>
            <w:rFonts w:ascii="Cambria Math" w:hAnsi="Cambria Math" w:cstheme="majorHAnsi"/>
            <w:sz w:val="20"/>
            <w:szCs w:val="20"/>
          </w:rPr>
          <m:t>x</m:t>
        </m:r>
      </m:oMath>
      <w:r w:rsidR="0090054B" w:rsidRPr="00431B04">
        <w:rPr>
          <w:rFonts w:asciiTheme="majorHAnsi" w:hAnsiTheme="majorHAnsi" w:cstheme="majorHAnsi"/>
          <w:sz w:val="20"/>
          <w:szCs w:val="20"/>
        </w:rPr>
        <w:t xml:space="preserve">), ingreso </w:t>
      </w:r>
      <w:r w:rsidR="0076733A" w:rsidRPr="00431B04">
        <w:rPr>
          <w:rFonts w:asciiTheme="majorHAnsi" w:hAnsiTheme="majorHAnsi" w:cstheme="majorHAnsi"/>
          <w:sz w:val="20"/>
          <w:szCs w:val="20"/>
        </w:rPr>
        <w:t xml:space="preserve">bruto </w:t>
      </w:r>
      <w:r w:rsidR="0090054B" w:rsidRPr="00431B04">
        <w:rPr>
          <w:rFonts w:asciiTheme="majorHAnsi" w:hAnsiTheme="majorHAnsi" w:cstheme="majorHAnsi"/>
          <w:sz w:val="20"/>
          <w:szCs w:val="20"/>
        </w:rPr>
        <w:t>mensual promedio (</w:t>
      </w:r>
      <m:oMath>
        <m:r>
          <w:rPr>
            <w:rFonts w:ascii="Cambria Math" w:hAnsi="Cambria Math" w:cstheme="majorHAnsi"/>
            <w:sz w:val="20"/>
            <w:szCs w:val="20"/>
          </w:rPr>
          <m:t>y</m:t>
        </m:r>
      </m:oMath>
      <w:r w:rsidR="0090054B" w:rsidRPr="00431B04">
        <w:rPr>
          <w:rFonts w:asciiTheme="majorHAnsi" w:hAnsiTheme="majorHAnsi" w:cstheme="majorHAnsi"/>
          <w:sz w:val="20"/>
          <w:szCs w:val="20"/>
        </w:rPr>
        <w:t>), y valor agregado bruto del sector (</w:t>
      </w:r>
      <m:oMath>
        <m:r>
          <w:rPr>
            <w:rFonts w:ascii="Cambria Math" w:hAnsi="Cambria Math" w:cstheme="majorHAnsi"/>
            <w:sz w:val="20"/>
            <w:szCs w:val="20"/>
          </w:rPr>
          <m:t>z</m:t>
        </m:r>
      </m:oMath>
      <w:r w:rsidR="0090054B" w:rsidRPr="00431B04">
        <w:rPr>
          <w:rFonts w:asciiTheme="majorHAnsi" w:hAnsiTheme="majorHAnsi" w:cstheme="majorHAnsi"/>
          <w:sz w:val="20"/>
          <w:szCs w:val="20"/>
        </w:rPr>
        <w:t>)</w:t>
      </w:r>
      <w:r w:rsidR="00F4027D" w:rsidRPr="00431B04">
        <w:rPr>
          <w:rFonts w:asciiTheme="majorHAnsi" w:hAnsiTheme="majorHAnsi" w:cstheme="majorHAnsi"/>
          <w:sz w:val="20"/>
          <w:szCs w:val="20"/>
        </w:rPr>
        <w:t xml:space="preserve"> para la Población Económicamente Activa (PEA) ocupada</w:t>
      </w:r>
    </w:p>
    <w:p w14:paraId="66C2CBFE" w14:textId="4A099B45" w:rsidR="000A45B7" w:rsidRPr="00431B04" w:rsidRDefault="000A45B7" w:rsidP="00E9103F">
      <w:pPr>
        <w:spacing w:after="0"/>
        <w:jc w:val="center"/>
        <w:rPr>
          <w:rFonts w:asciiTheme="majorHAnsi" w:hAnsiTheme="majorHAnsi" w:cstheme="majorHAnsi"/>
        </w:rPr>
      </w:pPr>
      <w:r w:rsidRPr="00431B04">
        <w:rPr>
          <w:rFonts w:asciiTheme="majorHAnsi" w:hAnsiTheme="majorHAnsi" w:cstheme="majorHAnsi"/>
          <w:noProof/>
        </w:rPr>
        <w:drawing>
          <wp:inline distT="0" distB="0" distL="0" distR="0" wp14:anchorId="2DAECF89" wp14:editId="7C035903">
            <wp:extent cx="4680000" cy="2520000"/>
            <wp:effectExtent l="0" t="0" r="6350" b="13970"/>
            <wp:docPr id="1" name="Gráfico 1">
              <a:extLst xmlns:a="http://schemas.openxmlformats.org/drawingml/2006/main">
                <a:ext uri="{FF2B5EF4-FFF2-40B4-BE49-F238E27FC236}">
                  <a16:creationId xmlns:a16="http://schemas.microsoft.com/office/drawing/2014/main" id="{856FACBB-B16D-4050-B36B-8E5B75A3C8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8D0457" w14:textId="148F07A1" w:rsidR="000A45B7" w:rsidRPr="00431B04" w:rsidRDefault="00E9103F" w:rsidP="003521D5">
      <w:pPr>
        <w:spacing w:after="0" w:line="360" w:lineRule="auto"/>
        <w:ind w:left="851" w:right="804"/>
        <w:rPr>
          <w:rFonts w:asciiTheme="majorHAnsi" w:hAnsiTheme="majorHAnsi" w:cstheme="majorHAnsi"/>
          <w:sz w:val="16"/>
          <w:szCs w:val="16"/>
        </w:rPr>
      </w:pPr>
      <w:r w:rsidRPr="00431B04">
        <w:rPr>
          <w:rFonts w:asciiTheme="majorHAnsi" w:hAnsiTheme="majorHAnsi" w:cstheme="majorHAnsi"/>
          <w:sz w:val="16"/>
          <w:szCs w:val="16"/>
        </w:rPr>
        <w:t>Fuente: Elaboración propia en base a datos de INEI y ONET.</w:t>
      </w:r>
      <w:r w:rsidR="0076733A" w:rsidRPr="00431B04">
        <w:rPr>
          <w:rFonts w:asciiTheme="majorHAnsi" w:hAnsiTheme="majorHAnsi" w:cstheme="majorHAnsi"/>
          <w:sz w:val="16"/>
          <w:szCs w:val="16"/>
        </w:rPr>
        <w:t xml:space="preserve"> En ingreso bruto mensual promedio: 1 = S/</w:t>
      </w:r>
      <w:r w:rsidR="00A94D32" w:rsidRPr="00431B04">
        <w:rPr>
          <w:rFonts w:asciiTheme="majorHAnsi" w:hAnsiTheme="majorHAnsi" w:cstheme="majorHAnsi"/>
          <w:sz w:val="16"/>
          <w:szCs w:val="16"/>
        </w:rPr>
        <w:t xml:space="preserve"> </w:t>
      </w:r>
      <w:r w:rsidR="0076733A" w:rsidRPr="00431B04">
        <w:rPr>
          <w:rFonts w:asciiTheme="majorHAnsi" w:hAnsiTheme="majorHAnsi" w:cstheme="majorHAnsi"/>
          <w:sz w:val="16"/>
          <w:szCs w:val="16"/>
        </w:rPr>
        <w:t>1,400.6</w:t>
      </w:r>
    </w:p>
    <w:p w14:paraId="64F63CF3" w14:textId="77777777" w:rsidR="00475B34" w:rsidRPr="00431B04" w:rsidRDefault="00475B34" w:rsidP="006F283A">
      <w:pPr>
        <w:spacing w:after="0"/>
        <w:rPr>
          <w:rFonts w:asciiTheme="majorHAnsi" w:hAnsiTheme="majorHAnsi" w:cstheme="majorHAnsi"/>
        </w:rPr>
      </w:pPr>
    </w:p>
    <w:p w14:paraId="20A502EC" w14:textId="77777777" w:rsidR="000A45B7" w:rsidRPr="00431B04" w:rsidRDefault="000A45B7" w:rsidP="00F31891">
      <w:pPr>
        <w:spacing w:after="0"/>
        <w:rPr>
          <w:rFonts w:asciiTheme="majorHAnsi" w:hAnsiTheme="majorHAnsi" w:cstheme="majorHAnsi"/>
        </w:rPr>
        <w:sectPr w:rsidR="000A45B7" w:rsidRPr="00431B04" w:rsidSect="00475B34">
          <w:type w:val="continuous"/>
          <w:pgSz w:w="11906" w:h="16838"/>
          <w:pgMar w:top="1440" w:right="1440" w:bottom="1440" w:left="1440" w:header="708" w:footer="708" w:gutter="0"/>
          <w:cols w:space="708"/>
          <w:docGrid w:linePitch="360"/>
        </w:sectPr>
      </w:pPr>
    </w:p>
    <w:p w14:paraId="1051F27E" w14:textId="7DE6F087" w:rsidR="00F31891" w:rsidRPr="00431B04" w:rsidRDefault="00581239" w:rsidP="00F31891">
      <w:pPr>
        <w:spacing w:after="120"/>
        <w:jc w:val="both"/>
        <w:rPr>
          <w:rFonts w:asciiTheme="majorHAnsi" w:hAnsiTheme="majorHAnsi" w:cstheme="majorHAnsi"/>
          <w:color w:val="C00000"/>
        </w:rPr>
      </w:pPr>
      <w:r w:rsidRPr="00431B04">
        <w:rPr>
          <w:rFonts w:asciiTheme="majorHAnsi" w:hAnsiTheme="majorHAnsi" w:cstheme="majorHAnsi"/>
          <w:color w:val="C00000"/>
        </w:rPr>
        <w:t>RESULTADOS Y DISCUSIÓN</w:t>
      </w:r>
    </w:p>
    <w:p w14:paraId="4B434FF6" w14:textId="5FDD53A2" w:rsidR="00F56261" w:rsidRPr="00431B04" w:rsidRDefault="00824D5C" w:rsidP="009D7F37">
      <w:pPr>
        <w:jc w:val="both"/>
        <w:rPr>
          <w:rFonts w:asciiTheme="majorHAnsi" w:hAnsiTheme="majorHAnsi" w:cstheme="majorHAnsi"/>
        </w:rPr>
      </w:pPr>
      <w:r w:rsidRPr="00431B04">
        <w:rPr>
          <w:rFonts w:asciiTheme="majorHAnsi" w:hAnsiTheme="majorHAnsi" w:cstheme="majorHAnsi"/>
        </w:rPr>
        <w:t>En el gráfico anterior se muestra</w:t>
      </w:r>
      <w:r w:rsidR="007F1BB4" w:rsidRPr="00431B04">
        <w:rPr>
          <w:rFonts w:asciiTheme="majorHAnsi" w:hAnsiTheme="majorHAnsi" w:cstheme="majorHAnsi"/>
        </w:rPr>
        <w:t>n</w:t>
      </w:r>
      <w:r w:rsidRPr="00431B04">
        <w:rPr>
          <w:rFonts w:asciiTheme="majorHAnsi" w:hAnsiTheme="majorHAnsi" w:cstheme="majorHAnsi"/>
        </w:rPr>
        <w:t xml:space="preserve"> </w:t>
      </w:r>
      <w:r w:rsidR="007F1BB4" w:rsidRPr="00431B04">
        <w:rPr>
          <w:rFonts w:asciiTheme="majorHAnsi" w:hAnsiTheme="majorHAnsi" w:cstheme="majorHAnsi"/>
        </w:rPr>
        <w:t xml:space="preserve">los </w:t>
      </w:r>
      <w:r w:rsidRPr="00431B04">
        <w:rPr>
          <w:rFonts w:asciiTheme="majorHAnsi" w:hAnsiTheme="majorHAnsi" w:cstheme="majorHAnsi"/>
        </w:rPr>
        <w:t>índice</w:t>
      </w:r>
      <w:r w:rsidR="007F1BB4" w:rsidRPr="00431B04">
        <w:rPr>
          <w:rFonts w:asciiTheme="majorHAnsi" w:hAnsiTheme="majorHAnsi" w:cstheme="majorHAnsi"/>
        </w:rPr>
        <w:t>s</w:t>
      </w:r>
      <w:r w:rsidRPr="00431B04">
        <w:rPr>
          <w:rFonts w:asciiTheme="majorHAnsi" w:hAnsiTheme="majorHAnsi" w:cstheme="majorHAnsi"/>
        </w:rPr>
        <w:t xml:space="preserve"> de proximidad construido</w:t>
      </w:r>
      <w:r w:rsidR="00D14308" w:rsidRPr="00431B04">
        <w:rPr>
          <w:rFonts w:asciiTheme="majorHAnsi" w:hAnsiTheme="majorHAnsi" w:cstheme="majorHAnsi"/>
        </w:rPr>
        <w:t>s</w:t>
      </w:r>
      <w:r w:rsidRPr="00431B04">
        <w:rPr>
          <w:rFonts w:asciiTheme="majorHAnsi" w:hAnsiTheme="majorHAnsi" w:cstheme="majorHAnsi"/>
        </w:rPr>
        <w:t xml:space="preserve"> para Perú </w:t>
      </w:r>
      <w:r w:rsidR="00375EF6" w:rsidRPr="00431B04">
        <w:rPr>
          <w:rFonts w:asciiTheme="majorHAnsi" w:hAnsiTheme="majorHAnsi" w:cstheme="majorHAnsi"/>
        </w:rPr>
        <w:t xml:space="preserve">y sus sectores </w:t>
      </w:r>
      <w:r w:rsidRPr="00431B04">
        <w:rPr>
          <w:rFonts w:asciiTheme="majorHAnsi" w:hAnsiTheme="majorHAnsi" w:cstheme="majorHAnsi"/>
        </w:rPr>
        <w:t>utilizando la información de la ENAHO para el año 2018</w:t>
      </w:r>
      <w:r w:rsidR="00AE079A">
        <w:rPr>
          <w:rFonts w:asciiTheme="majorHAnsi" w:hAnsiTheme="majorHAnsi" w:cstheme="majorHAnsi"/>
        </w:rPr>
        <w:t xml:space="preserve"> (la más actualizada)</w:t>
      </w:r>
      <w:r w:rsidR="003F3DDE" w:rsidRPr="00431B04">
        <w:rPr>
          <w:rFonts w:asciiTheme="majorHAnsi" w:hAnsiTheme="majorHAnsi" w:cstheme="majorHAnsi"/>
        </w:rPr>
        <w:t>. E</w:t>
      </w:r>
      <w:r w:rsidR="002144C8" w:rsidRPr="00431B04">
        <w:rPr>
          <w:rFonts w:asciiTheme="majorHAnsi" w:hAnsiTheme="majorHAnsi" w:cstheme="majorHAnsi"/>
        </w:rPr>
        <w:t xml:space="preserve">ste indicador </w:t>
      </w:r>
      <w:r w:rsidR="00AE079A">
        <w:rPr>
          <w:rFonts w:asciiTheme="majorHAnsi" w:hAnsiTheme="majorHAnsi" w:cstheme="majorHAnsi"/>
        </w:rPr>
        <w:t>tiene</w:t>
      </w:r>
      <w:r w:rsidR="002144C8" w:rsidRPr="00431B04">
        <w:rPr>
          <w:rFonts w:asciiTheme="majorHAnsi" w:hAnsiTheme="majorHAnsi" w:cstheme="majorHAnsi"/>
        </w:rPr>
        <w:t xml:space="preserve"> valores entre 0 y 100, donde 0 representa nulo contacto con otras personas, y 100 representa contacto </w:t>
      </w:r>
      <w:r w:rsidR="001148AB">
        <w:rPr>
          <w:rFonts w:asciiTheme="majorHAnsi" w:hAnsiTheme="majorHAnsi" w:cstheme="majorHAnsi"/>
        </w:rPr>
        <w:t xml:space="preserve">físico </w:t>
      </w:r>
      <w:r w:rsidR="002144C8" w:rsidRPr="00431B04">
        <w:rPr>
          <w:rFonts w:asciiTheme="majorHAnsi" w:hAnsiTheme="majorHAnsi" w:cstheme="majorHAnsi"/>
        </w:rPr>
        <w:t>muy frecuente</w:t>
      </w:r>
      <w:r w:rsidR="00C147AA" w:rsidRPr="00431B04">
        <w:rPr>
          <w:rStyle w:val="Refdenotaalpie"/>
          <w:rFonts w:asciiTheme="majorHAnsi" w:hAnsiTheme="majorHAnsi" w:cstheme="majorHAnsi"/>
        </w:rPr>
        <w:footnoteReference w:id="8"/>
      </w:r>
      <w:r w:rsidR="00952C99">
        <w:rPr>
          <w:rFonts w:asciiTheme="majorHAnsi" w:hAnsiTheme="majorHAnsi" w:cstheme="majorHAnsi"/>
        </w:rPr>
        <w:t>.</w:t>
      </w:r>
      <w:r w:rsidR="002144C8" w:rsidRPr="00431B04">
        <w:rPr>
          <w:rFonts w:asciiTheme="majorHAnsi" w:hAnsiTheme="majorHAnsi" w:cstheme="majorHAnsi"/>
        </w:rPr>
        <w:t xml:space="preserve"> </w:t>
      </w:r>
      <w:r w:rsidR="007F1BB4" w:rsidRPr="00431B04">
        <w:rPr>
          <w:rFonts w:asciiTheme="majorHAnsi" w:hAnsiTheme="majorHAnsi" w:cstheme="majorHAnsi"/>
        </w:rPr>
        <w:t>El tamaño de las burbujas del gráfico indica</w:t>
      </w:r>
      <w:r w:rsidR="00F6188A" w:rsidRPr="00431B04">
        <w:rPr>
          <w:rFonts w:asciiTheme="majorHAnsi" w:hAnsiTheme="majorHAnsi" w:cstheme="majorHAnsi"/>
        </w:rPr>
        <w:t xml:space="preserve"> la participación del sector en el </w:t>
      </w:r>
      <w:r w:rsidR="00701E87" w:rsidRPr="00431B04">
        <w:rPr>
          <w:rFonts w:asciiTheme="majorHAnsi" w:hAnsiTheme="majorHAnsi" w:cstheme="majorHAnsi"/>
        </w:rPr>
        <w:t xml:space="preserve">VAB </w:t>
      </w:r>
      <w:r w:rsidR="00F6188A" w:rsidRPr="00431B04">
        <w:rPr>
          <w:rFonts w:asciiTheme="majorHAnsi" w:hAnsiTheme="majorHAnsi" w:cstheme="majorHAnsi"/>
        </w:rPr>
        <w:t>nacional.</w:t>
      </w:r>
      <w:r w:rsidR="00F65530" w:rsidRPr="00431B04">
        <w:rPr>
          <w:rFonts w:asciiTheme="majorHAnsi" w:hAnsiTheme="majorHAnsi" w:cstheme="majorHAnsi"/>
        </w:rPr>
        <w:t xml:space="preserve"> El valor del eje </w:t>
      </w:r>
      <m:oMath>
        <m:r>
          <w:rPr>
            <w:rFonts w:ascii="Cambria Math" w:hAnsi="Cambria Math" w:cstheme="majorHAnsi"/>
          </w:rPr>
          <m:t>y</m:t>
        </m:r>
      </m:oMath>
      <w:r w:rsidR="00F65530" w:rsidRPr="00431B04">
        <w:rPr>
          <w:rFonts w:asciiTheme="majorHAnsi" w:hAnsiTheme="majorHAnsi" w:cstheme="majorHAnsi"/>
        </w:rPr>
        <w:t xml:space="preserve"> </w:t>
      </w:r>
      <w:r w:rsidR="00F65530" w:rsidRPr="00431B04">
        <w:rPr>
          <w:rFonts w:asciiTheme="majorHAnsi" w:hAnsiTheme="majorHAnsi" w:cstheme="majorHAnsi"/>
        </w:rPr>
        <w:t xml:space="preserve">corresponde al ingreso </w:t>
      </w:r>
      <w:r w:rsidR="00952C99">
        <w:rPr>
          <w:rFonts w:asciiTheme="majorHAnsi" w:hAnsiTheme="majorHAnsi" w:cstheme="majorHAnsi"/>
        </w:rPr>
        <w:t xml:space="preserve">bruto </w:t>
      </w:r>
      <w:r w:rsidR="00F65530" w:rsidRPr="00431B04">
        <w:rPr>
          <w:rFonts w:asciiTheme="majorHAnsi" w:hAnsiTheme="majorHAnsi" w:cstheme="majorHAnsi"/>
        </w:rPr>
        <w:t>mensual promedio del sector dividido entre el ingreso mensual promedio a nivel nacional</w:t>
      </w:r>
      <w:r w:rsidR="005B35FA" w:rsidRPr="00431B04">
        <w:rPr>
          <w:rFonts w:asciiTheme="majorHAnsi" w:hAnsiTheme="majorHAnsi" w:cstheme="majorHAnsi"/>
        </w:rPr>
        <w:t xml:space="preserve"> (S/</w:t>
      </w:r>
      <w:r w:rsidR="00A94D32" w:rsidRPr="00431B04">
        <w:rPr>
          <w:rFonts w:asciiTheme="majorHAnsi" w:hAnsiTheme="majorHAnsi" w:cstheme="majorHAnsi"/>
        </w:rPr>
        <w:t xml:space="preserve"> </w:t>
      </w:r>
      <w:r w:rsidR="005B35FA" w:rsidRPr="00431B04">
        <w:rPr>
          <w:rFonts w:asciiTheme="majorHAnsi" w:hAnsiTheme="majorHAnsi" w:cstheme="majorHAnsi"/>
        </w:rPr>
        <w:t>1,400.6)</w:t>
      </w:r>
      <w:r w:rsidR="003B7009" w:rsidRPr="00431B04">
        <w:rPr>
          <w:rFonts w:asciiTheme="majorHAnsi" w:hAnsiTheme="majorHAnsi" w:cstheme="majorHAnsi"/>
        </w:rPr>
        <w:t>; esto es, el valor de 1 corresponde a este último indicador</w:t>
      </w:r>
      <w:r w:rsidR="007F1BB4" w:rsidRPr="00431B04">
        <w:rPr>
          <w:rFonts w:asciiTheme="majorHAnsi" w:hAnsiTheme="majorHAnsi" w:cstheme="majorHAnsi"/>
        </w:rPr>
        <w:t xml:space="preserve"> (línea horizontal en el eje </w:t>
      </w:r>
      <m:oMath>
        <m:r>
          <w:rPr>
            <w:rFonts w:ascii="Cambria Math" w:hAnsi="Cambria Math" w:cstheme="majorHAnsi"/>
          </w:rPr>
          <m:t>y</m:t>
        </m:r>
      </m:oMath>
      <w:r w:rsidR="007F1BB4" w:rsidRPr="00431B04">
        <w:rPr>
          <w:rFonts w:asciiTheme="majorHAnsi" w:eastAsiaTheme="minorEastAsia" w:hAnsiTheme="majorHAnsi" w:cstheme="majorHAnsi"/>
        </w:rPr>
        <w:t>)</w:t>
      </w:r>
      <w:r w:rsidR="003B7009" w:rsidRPr="00431B04">
        <w:rPr>
          <w:rFonts w:asciiTheme="majorHAnsi" w:hAnsiTheme="majorHAnsi" w:cstheme="majorHAnsi"/>
        </w:rPr>
        <w:t xml:space="preserve">. La línea vertical </w:t>
      </w:r>
      <w:r w:rsidR="00B545C8" w:rsidRPr="00431B04">
        <w:rPr>
          <w:rFonts w:asciiTheme="majorHAnsi" w:hAnsiTheme="majorHAnsi" w:cstheme="majorHAnsi"/>
        </w:rPr>
        <w:t xml:space="preserve">en el eje </w:t>
      </w:r>
      <m:oMath>
        <m:r>
          <w:rPr>
            <w:rFonts w:ascii="Cambria Math" w:hAnsi="Cambria Math" w:cstheme="majorHAnsi"/>
          </w:rPr>
          <m:t>x</m:t>
        </m:r>
      </m:oMath>
      <w:r w:rsidR="00B545C8" w:rsidRPr="00431B04">
        <w:rPr>
          <w:rFonts w:asciiTheme="majorHAnsi" w:hAnsiTheme="majorHAnsi" w:cstheme="majorHAnsi"/>
        </w:rPr>
        <w:t xml:space="preserve"> corresponde al valor promedio del índice de proximidad a nivel nacional (58</w:t>
      </w:r>
      <w:r w:rsidR="00E271BD" w:rsidRPr="00431B04">
        <w:rPr>
          <w:rFonts w:asciiTheme="majorHAnsi" w:hAnsiTheme="majorHAnsi" w:cstheme="majorHAnsi"/>
        </w:rPr>
        <w:t>.</w:t>
      </w:r>
      <w:r w:rsidR="00C863C5" w:rsidRPr="00431B04">
        <w:rPr>
          <w:rFonts w:asciiTheme="majorHAnsi" w:hAnsiTheme="majorHAnsi" w:cstheme="majorHAnsi"/>
        </w:rPr>
        <w:t>6</w:t>
      </w:r>
      <w:r w:rsidR="00B545C8" w:rsidRPr="00431B04">
        <w:rPr>
          <w:rFonts w:asciiTheme="majorHAnsi" w:hAnsiTheme="majorHAnsi" w:cstheme="majorHAnsi"/>
        </w:rPr>
        <w:t>)</w:t>
      </w:r>
      <w:r w:rsidR="00C22DE4" w:rsidRPr="00431B04">
        <w:rPr>
          <w:rFonts w:asciiTheme="majorHAnsi" w:hAnsiTheme="majorHAnsi" w:cstheme="majorHAnsi"/>
        </w:rPr>
        <w:t>.</w:t>
      </w:r>
      <w:r w:rsidR="00F56261" w:rsidRPr="00431B04">
        <w:rPr>
          <w:rFonts w:asciiTheme="majorHAnsi" w:hAnsiTheme="majorHAnsi" w:cstheme="majorHAnsi"/>
        </w:rPr>
        <w:t xml:space="preserve"> </w:t>
      </w:r>
    </w:p>
    <w:p w14:paraId="2D9C05DF" w14:textId="77777777" w:rsidR="00B9264A" w:rsidRDefault="0058045C" w:rsidP="00B9264A">
      <w:pPr>
        <w:jc w:val="both"/>
        <w:rPr>
          <w:rFonts w:asciiTheme="majorHAnsi" w:hAnsiTheme="majorHAnsi" w:cstheme="majorHAnsi"/>
        </w:rPr>
      </w:pPr>
      <w:r w:rsidRPr="00431B04">
        <w:rPr>
          <w:rFonts w:asciiTheme="majorHAnsi" w:hAnsiTheme="majorHAnsi" w:cstheme="majorHAnsi"/>
        </w:rPr>
        <w:t xml:space="preserve">Primeramente, </w:t>
      </w:r>
      <w:r w:rsidR="00253651" w:rsidRPr="00431B04">
        <w:rPr>
          <w:rFonts w:asciiTheme="majorHAnsi" w:hAnsiTheme="majorHAnsi" w:cstheme="majorHAnsi"/>
        </w:rPr>
        <w:t xml:space="preserve">para </w:t>
      </w:r>
      <w:r w:rsidR="00424974" w:rsidRPr="00431B04">
        <w:rPr>
          <w:rFonts w:asciiTheme="majorHAnsi" w:hAnsiTheme="majorHAnsi" w:cstheme="majorHAnsi"/>
        </w:rPr>
        <w:t xml:space="preserve">todas las ocupaciones </w:t>
      </w:r>
      <w:r w:rsidR="00253651" w:rsidRPr="00431B04">
        <w:rPr>
          <w:rFonts w:asciiTheme="majorHAnsi" w:hAnsiTheme="majorHAnsi" w:cstheme="majorHAnsi"/>
        </w:rPr>
        <w:t xml:space="preserve">tenemos indicadores </w:t>
      </w:r>
      <w:r w:rsidR="00C863C5" w:rsidRPr="00431B04">
        <w:rPr>
          <w:rFonts w:asciiTheme="majorHAnsi" w:hAnsiTheme="majorHAnsi" w:cstheme="majorHAnsi"/>
        </w:rPr>
        <w:t xml:space="preserve">de proximidad </w:t>
      </w:r>
      <w:r w:rsidR="00253651" w:rsidRPr="00431B04">
        <w:rPr>
          <w:rFonts w:asciiTheme="majorHAnsi" w:hAnsiTheme="majorHAnsi" w:cstheme="majorHAnsi"/>
        </w:rPr>
        <w:t>por encima de 40</w:t>
      </w:r>
      <w:r w:rsidR="005B7B25" w:rsidRPr="00431B04">
        <w:rPr>
          <w:rFonts w:asciiTheme="majorHAnsi" w:hAnsiTheme="majorHAnsi" w:cstheme="majorHAnsi"/>
        </w:rPr>
        <w:t>.</w:t>
      </w:r>
      <w:r w:rsidR="00C863C5" w:rsidRPr="00431B04">
        <w:rPr>
          <w:rFonts w:asciiTheme="majorHAnsi" w:hAnsiTheme="majorHAnsi" w:cstheme="majorHAnsi"/>
        </w:rPr>
        <w:t xml:space="preserve"> R</w:t>
      </w:r>
      <w:r w:rsidRPr="00431B04">
        <w:rPr>
          <w:rFonts w:asciiTheme="majorHAnsi" w:hAnsiTheme="majorHAnsi" w:cstheme="majorHAnsi"/>
        </w:rPr>
        <w:t xml:space="preserve">esulta evidente a nivel intuitivo que son los </w:t>
      </w:r>
      <w:r w:rsidRPr="00431B04">
        <w:rPr>
          <w:rFonts w:asciiTheme="majorHAnsi" w:hAnsiTheme="majorHAnsi" w:cstheme="majorHAnsi"/>
        </w:rPr>
        <w:lastRenderedPageBreak/>
        <w:t>servicios asociados a la salud</w:t>
      </w:r>
      <w:r w:rsidR="00C863C5" w:rsidRPr="00431B04">
        <w:rPr>
          <w:rFonts w:asciiTheme="majorHAnsi" w:hAnsiTheme="majorHAnsi" w:cstheme="majorHAnsi"/>
        </w:rPr>
        <w:t xml:space="preserve"> y</w:t>
      </w:r>
      <w:r w:rsidRPr="00431B04">
        <w:rPr>
          <w:rFonts w:asciiTheme="majorHAnsi" w:hAnsiTheme="majorHAnsi" w:cstheme="majorHAnsi"/>
        </w:rPr>
        <w:t xml:space="preserve"> restaurantes los que mantienen mayor contacto con otras personas. </w:t>
      </w:r>
      <w:r w:rsidR="00C863C5" w:rsidRPr="00431B04">
        <w:rPr>
          <w:rFonts w:asciiTheme="majorHAnsi" w:hAnsiTheme="majorHAnsi" w:cstheme="majorHAnsi"/>
        </w:rPr>
        <w:t>P</w:t>
      </w:r>
      <w:r w:rsidRPr="00431B04">
        <w:rPr>
          <w:rFonts w:asciiTheme="majorHAnsi" w:hAnsiTheme="majorHAnsi" w:cstheme="majorHAnsi"/>
        </w:rPr>
        <w:t xml:space="preserve">ara atender a pacientes de un hospital, se requiere contacto directo con este; por su parte, </w:t>
      </w:r>
      <w:r w:rsidR="00765B65" w:rsidRPr="00431B04">
        <w:rPr>
          <w:rFonts w:asciiTheme="majorHAnsi" w:hAnsiTheme="majorHAnsi" w:cstheme="majorHAnsi"/>
        </w:rPr>
        <w:t>el siguiente sector requiere contacto directo con otras personas que trabajan en el entorno y con clientes.</w:t>
      </w:r>
      <w:r w:rsidR="00E43B11" w:rsidRPr="00431B04">
        <w:rPr>
          <w:rFonts w:asciiTheme="majorHAnsi" w:hAnsiTheme="majorHAnsi" w:cstheme="majorHAnsi"/>
        </w:rPr>
        <w:t xml:space="preserve"> La construcción del índice y sus resultados indican que </w:t>
      </w:r>
      <w:r w:rsidR="00DD7650" w:rsidRPr="00431B04">
        <w:rPr>
          <w:rFonts w:asciiTheme="majorHAnsi" w:hAnsiTheme="majorHAnsi" w:cstheme="majorHAnsi"/>
        </w:rPr>
        <w:t>se cumpliría esta premisa</w:t>
      </w:r>
      <w:r w:rsidR="00701E87" w:rsidRPr="00431B04">
        <w:rPr>
          <w:rFonts w:asciiTheme="majorHAnsi" w:hAnsiTheme="majorHAnsi" w:cstheme="majorHAnsi"/>
        </w:rPr>
        <w:t>; sin embargo, como lo demuestra el tamaño de la burbuja, la participación que estos sectores tienen en el VAB</w:t>
      </w:r>
      <w:r w:rsidR="00D81186" w:rsidRPr="00431B04">
        <w:rPr>
          <w:rFonts w:asciiTheme="majorHAnsi" w:hAnsiTheme="majorHAnsi" w:cstheme="majorHAnsi"/>
        </w:rPr>
        <w:t xml:space="preserve"> no resulta importante (2.7% y 3.5%, respectivamente)</w:t>
      </w:r>
      <w:r w:rsidR="00555FF6" w:rsidRPr="00431B04">
        <w:rPr>
          <w:rFonts w:asciiTheme="majorHAnsi" w:hAnsiTheme="majorHAnsi" w:cstheme="majorHAnsi"/>
        </w:rPr>
        <w:t xml:space="preserve">. </w:t>
      </w:r>
      <w:r w:rsidR="00852FBB">
        <w:rPr>
          <w:rFonts w:asciiTheme="majorHAnsi" w:hAnsiTheme="majorHAnsi" w:cstheme="majorHAnsi"/>
        </w:rPr>
        <w:t>Sobre l</w:t>
      </w:r>
      <w:r w:rsidR="001F2FB7" w:rsidRPr="00431B04">
        <w:rPr>
          <w:rFonts w:asciiTheme="majorHAnsi" w:hAnsiTheme="majorHAnsi" w:cstheme="majorHAnsi"/>
        </w:rPr>
        <w:t>as actividades por debajo del promedio</w:t>
      </w:r>
      <w:r w:rsidR="00852FBB">
        <w:rPr>
          <w:rFonts w:asciiTheme="majorHAnsi" w:hAnsiTheme="majorHAnsi" w:cstheme="majorHAnsi"/>
        </w:rPr>
        <w:t xml:space="preserve"> del índice de proximidad</w:t>
      </w:r>
      <w:r w:rsidR="001F2FB7" w:rsidRPr="00431B04">
        <w:rPr>
          <w:rFonts w:asciiTheme="majorHAnsi" w:hAnsiTheme="majorHAnsi" w:cstheme="majorHAnsi"/>
        </w:rPr>
        <w:t>, si pensamos en ellas, efectivamente no requiere</w:t>
      </w:r>
      <w:r w:rsidR="007222F3" w:rsidRPr="00431B04">
        <w:rPr>
          <w:rFonts w:asciiTheme="majorHAnsi" w:hAnsiTheme="majorHAnsi" w:cstheme="majorHAnsi"/>
        </w:rPr>
        <w:t>n</w:t>
      </w:r>
      <w:r w:rsidR="001F2FB7" w:rsidRPr="00431B04">
        <w:rPr>
          <w:rFonts w:asciiTheme="majorHAnsi" w:hAnsiTheme="majorHAnsi" w:cstheme="majorHAnsi"/>
        </w:rPr>
        <w:t xml:space="preserve"> de </w:t>
      </w:r>
      <w:r w:rsidR="00852FBB">
        <w:rPr>
          <w:rFonts w:asciiTheme="majorHAnsi" w:hAnsiTheme="majorHAnsi" w:cstheme="majorHAnsi"/>
        </w:rPr>
        <w:t xml:space="preserve">un </w:t>
      </w:r>
      <w:r w:rsidR="001F2FB7" w:rsidRPr="00431B04">
        <w:rPr>
          <w:rFonts w:asciiTheme="majorHAnsi" w:hAnsiTheme="majorHAnsi" w:cstheme="majorHAnsi"/>
        </w:rPr>
        <w:t xml:space="preserve">contacto físico tan importante. </w:t>
      </w:r>
    </w:p>
    <w:p w14:paraId="2C8EB784" w14:textId="7A230C4E" w:rsidR="00B9264A" w:rsidRDefault="007222F3" w:rsidP="00A850A3">
      <w:pPr>
        <w:spacing w:after="0"/>
        <w:jc w:val="both"/>
        <w:rPr>
          <w:rFonts w:asciiTheme="majorHAnsi" w:hAnsiTheme="majorHAnsi" w:cstheme="majorHAnsi"/>
        </w:rPr>
      </w:pPr>
      <w:r w:rsidRPr="00431B04">
        <w:rPr>
          <w:rFonts w:asciiTheme="majorHAnsi" w:hAnsiTheme="majorHAnsi" w:cstheme="majorHAnsi"/>
        </w:rPr>
        <w:t xml:space="preserve">Si pensamos </w:t>
      </w:r>
      <w:r w:rsidR="001F2FB7" w:rsidRPr="00431B04">
        <w:rPr>
          <w:rFonts w:asciiTheme="majorHAnsi" w:hAnsiTheme="majorHAnsi" w:cstheme="majorHAnsi"/>
        </w:rPr>
        <w:t>en agricultura</w:t>
      </w:r>
      <w:r w:rsidRPr="00431B04">
        <w:rPr>
          <w:rFonts w:asciiTheme="majorHAnsi" w:hAnsiTheme="majorHAnsi" w:cstheme="majorHAnsi"/>
        </w:rPr>
        <w:t xml:space="preserve"> y</w:t>
      </w:r>
      <w:r w:rsidR="001F2FB7" w:rsidRPr="00431B04">
        <w:rPr>
          <w:rFonts w:asciiTheme="majorHAnsi" w:hAnsiTheme="majorHAnsi" w:cstheme="majorHAnsi"/>
        </w:rPr>
        <w:t xml:space="preserve"> pesca,</w:t>
      </w:r>
      <w:r w:rsidRPr="00431B04">
        <w:rPr>
          <w:rFonts w:asciiTheme="majorHAnsi" w:hAnsiTheme="majorHAnsi" w:cstheme="majorHAnsi"/>
        </w:rPr>
        <w:t xml:space="preserve"> los trabajadores sí incurren en contacto, pero no frecuentemente</w:t>
      </w:r>
      <w:r w:rsidR="00A16452">
        <w:rPr>
          <w:rFonts w:asciiTheme="majorHAnsi" w:hAnsiTheme="majorHAnsi" w:cstheme="majorHAnsi"/>
        </w:rPr>
        <w:t>;</w:t>
      </w:r>
      <w:r w:rsidRPr="00431B04">
        <w:rPr>
          <w:rFonts w:asciiTheme="majorHAnsi" w:hAnsiTheme="majorHAnsi" w:cstheme="majorHAnsi"/>
        </w:rPr>
        <w:t xml:space="preserve"> puede existir espacio </w:t>
      </w:r>
      <w:r w:rsidR="00A16452">
        <w:rPr>
          <w:rFonts w:asciiTheme="majorHAnsi" w:hAnsiTheme="majorHAnsi" w:cstheme="majorHAnsi"/>
        </w:rPr>
        <w:t xml:space="preserve">relativamente </w:t>
      </w:r>
      <w:r w:rsidRPr="00431B04">
        <w:rPr>
          <w:rFonts w:asciiTheme="majorHAnsi" w:hAnsiTheme="majorHAnsi" w:cstheme="majorHAnsi"/>
        </w:rPr>
        <w:t xml:space="preserve">importante entre </w:t>
      </w:r>
      <w:r w:rsidR="00A16452">
        <w:rPr>
          <w:rFonts w:asciiTheme="majorHAnsi" w:hAnsiTheme="majorHAnsi" w:cstheme="majorHAnsi"/>
        </w:rPr>
        <w:t>los trabajadores del sector</w:t>
      </w:r>
      <w:r w:rsidRPr="00431B04">
        <w:rPr>
          <w:rFonts w:asciiTheme="majorHAnsi" w:hAnsiTheme="majorHAnsi" w:cstheme="majorHAnsi"/>
        </w:rPr>
        <w:t xml:space="preserve">. Por su parte, en </w:t>
      </w:r>
      <w:r w:rsidR="001F2FB7" w:rsidRPr="00431B04">
        <w:rPr>
          <w:rFonts w:asciiTheme="majorHAnsi" w:hAnsiTheme="majorHAnsi" w:cstheme="majorHAnsi"/>
        </w:rPr>
        <w:t>comunicaciones, muchas actividades profesionales y muchas actividades financieras</w:t>
      </w:r>
      <w:r w:rsidRPr="00431B04">
        <w:rPr>
          <w:rFonts w:asciiTheme="majorHAnsi" w:hAnsiTheme="majorHAnsi" w:cstheme="majorHAnsi"/>
        </w:rPr>
        <w:t>, pueden gozar de los beneficios de la tecnología</w:t>
      </w:r>
      <w:r w:rsidR="006B01AC" w:rsidRPr="00431B04">
        <w:rPr>
          <w:rFonts w:asciiTheme="majorHAnsi" w:hAnsiTheme="majorHAnsi" w:cstheme="majorHAnsi"/>
        </w:rPr>
        <w:t xml:space="preserve"> que permiten que muchas tareas ya no requieran contacto físico o este pueda ser disminuido importantemente.</w:t>
      </w:r>
      <w:r w:rsidR="00982752" w:rsidRPr="00431B04">
        <w:rPr>
          <w:rFonts w:asciiTheme="majorHAnsi" w:hAnsiTheme="majorHAnsi" w:cstheme="majorHAnsi"/>
        </w:rPr>
        <w:t xml:space="preserve"> </w:t>
      </w:r>
      <w:r w:rsidRPr="00431B04">
        <w:rPr>
          <w:rFonts w:asciiTheme="majorHAnsi" w:hAnsiTheme="majorHAnsi" w:cstheme="majorHAnsi"/>
        </w:rPr>
        <w:t>Los valores del índice de proximidad en estos sectores solo reflejan cómo trabajan</w:t>
      </w:r>
      <w:r w:rsidR="00852FBB">
        <w:rPr>
          <w:rFonts w:asciiTheme="majorHAnsi" w:hAnsiTheme="majorHAnsi" w:cstheme="majorHAnsi"/>
        </w:rPr>
        <w:t xml:space="preserve"> y se presenta a modo de evidencia empírica</w:t>
      </w:r>
      <w:r w:rsidR="00982752" w:rsidRPr="00431B04">
        <w:rPr>
          <w:rFonts w:asciiTheme="majorHAnsi" w:hAnsiTheme="majorHAnsi" w:cstheme="majorHAnsi"/>
        </w:rPr>
        <w:t>.</w:t>
      </w:r>
      <w:r w:rsidR="00F56261" w:rsidRPr="00431B04">
        <w:rPr>
          <w:rFonts w:asciiTheme="majorHAnsi" w:hAnsiTheme="majorHAnsi" w:cstheme="majorHAnsi"/>
        </w:rPr>
        <w:t xml:space="preserve"> </w:t>
      </w:r>
    </w:p>
    <w:p w14:paraId="111D36B3" w14:textId="77777777" w:rsidR="00B9264A" w:rsidRDefault="00982752" w:rsidP="00B9264A">
      <w:pPr>
        <w:jc w:val="both"/>
        <w:rPr>
          <w:rFonts w:asciiTheme="majorHAnsi" w:hAnsiTheme="majorHAnsi" w:cstheme="majorHAnsi"/>
        </w:rPr>
      </w:pPr>
      <w:r w:rsidRPr="00431B04">
        <w:rPr>
          <w:rFonts w:asciiTheme="majorHAnsi" w:hAnsiTheme="majorHAnsi" w:cstheme="majorHAnsi"/>
        </w:rPr>
        <w:t xml:space="preserve">Quizá la cuestión más importante se encuentra </w:t>
      </w:r>
      <w:r w:rsidR="00A775DB">
        <w:rPr>
          <w:rFonts w:asciiTheme="majorHAnsi" w:hAnsiTheme="majorHAnsi" w:cstheme="majorHAnsi"/>
        </w:rPr>
        <w:t>entre</w:t>
      </w:r>
      <w:r w:rsidRPr="00431B04">
        <w:rPr>
          <w:rFonts w:asciiTheme="majorHAnsi" w:hAnsiTheme="majorHAnsi" w:cstheme="majorHAnsi"/>
        </w:rPr>
        <w:t xml:space="preserve"> los sectores de comercio, manufactura, </w:t>
      </w:r>
      <w:r w:rsidR="00555FF6" w:rsidRPr="00431B04">
        <w:rPr>
          <w:rFonts w:asciiTheme="majorHAnsi" w:hAnsiTheme="majorHAnsi" w:cstheme="majorHAnsi"/>
        </w:rPr>
        <w:t>educación, construcción y minería</w:t>
      </w:r>
      <w:r w:rsidR="00D23EE9" w:rsidRPr="00431B04">
        <w:rPr>
          <w:rFonts w:asciiTheme="majorHAnsi" w:hAnsiTheme="majorHAnsi" w:cstheme="majorHAnsi"/>
        </w:rPr>
        <w:t xml:space="preserve">, pues </w:t>
      </w:r>
      <w:r w:rsidR="00F04A1E" w:rsidRPr="00431B04">
        <w:rPr>
          <w:rFonts w:asciiTheme="majorHAnsi" w:hAnsiTheme="majorHAnsi" w:cstheme="majorHAnsi"/>
        </w:rPr>
        <w:t>si</w:t>
      </w:r>
      <w:r w:rsidR="00D23EE9" w:rsidRPr="00431B04">
        <w:rPr>
          <w:rFonts w:asciiTheme="majorHAnsi" w:hAnsiTheme="majorHAnsi" w:cstheme="majorHAnsi"/>
        </w:rPr>
        <w:t xml:space="preserve"> pensamos en la reactivación económica,</w:t>
      </w:r>
      <w:r w:rsidR="00A371F5" w:rsidRPr="00431B04">
        <w:rPr>
          <w:rFonts w:asciiTheme="majorHAnsi" w:hAnsiTheme="majorHAnsi" w:cstheme="majorHAnsi"/>
        </w:rPr>
        <w:t xml:space="preserve"> si todavía no “exterminamos” el virus, </w:t>
      </w:r>
      <w:r w:rsidR="00A775DB">
        <w:rPr>
          <w:rFonts w:asciiTheme="majorHAnsi" w:hAnsiTheme="majorHAnsi" w:cstheme="majorHAnsi"/>
        </w:rPr>
        <w:t xml:space="preserve">y nos </w:t>
      </w:r>
      <w:r w:rsidR="00F04A1E" w:rsidRPr="00431B04">
        <w:rPr>
          <w:rFonts w:asciiTheme="majorHAnsi" w:hAnsiTheme="majorHAnsi" w:cstheme="majorHAnsi"/>
        </w:rPr>
        <w:t>pregunta</w:t>
      </w:r>
      <w:r w:rsidR="00A775DB">
        <w:rPr>
          <w:rFonts w:asciiTheme="majorHAnsi" w:hAnsiTheme="majorHAnsi" w:cstheme="majorHAnsi"/>
        </w:rPr>
        <w:t>m</w:t>
      </w:r>
      <w:r w:rsidR="00F04A1E" w:rsidRPr="00431B04">
        <w:rPr>
          <w:rFonts w:asciiTheme="majorHAnsi" w:hAnsiTheme="majorHAnsi" w:cstheme="majorHAnsi"/>
        </w:rPr>
        <w:t xml:space="preserve">os </w:t>
      </w:r>
      <w:r w:rsidR="00D23EE9" w:rsidRPr="00431B04">
        <w:rPr>
          <w:rFonts w:asciiTheme="majorHAnsi" w:hAnsiTheme="majorHAnsi" w:cstheme="majorHAnsi"/>
        </w:rPr>
        <w:t>en qué lugares las personas estarían más propens</w:t>
      </w:r>
      <w:r w:rsidR="002A00F2" w:rsidRPr="00431B04">
        <w:rPr>
          <w:rFonts w:asciiTheme="majorHAnsi" w:hAnsiTheme="majorHAnsi" w:cstheme="majorHAnsi"/>
        </w:rPr>
        <w:t>a</w:t>
      </w:r>
      <w:r w:rsidR="00D23EE9" w:rsidRPr="00431B04">
        <w:rPr>
          <w:rFonts w:asciiTheme="majorHAnsi" w:hAnsiTheme="majorHAnsi" w:cstheme="majorHAnsi"/>
        </w:rPr>
        <w:t>s a contagiarse</w:t>
      </w:r>
      <w:r w:rsidR="00A371F5" w:rsidRPr="00431B04">
        <w:rPr>
          <w:rFonts w:asciiTheme="majorHAnsi" w:hAnsiTheme="majorHAnsi" w:cstheme="majorHAnsi"/>
        </w:rPr>
        <w:t>; son justamente estos sectores.</w:t>
      </w:r>
      <w:r w:rsidR="00266FC1">
        <w:rPr>
          <w:rFonts w:asciiTheme="majorHAnsi" w:hAnsiTheme="majorHAnsi" w:cstheme="majorHAnsi"/>
        </w:rPr>
        <w:t xml:space="preserve"> </w:t>
      </w:r>
      <w:r w:rsidR="000A7C10" w:rsidRPr="00431B04">
        <w:rPr>
          <w:rFonts w:asciiTheme="majorHAnsi" w:hAnsiTheme="majorHAnsi" w:cstheme="majorHAnsi"/>
        </w:rPr>
        <w:t xml:space="preserve">Sin embargo, </w:t>
      </w:r>
      <w:r w:rsidR="000A7C79" w:rsidRPr="00431B04">
        <w:rPr>
          <w:rFonts w:asciiTheme="majorHAnsi" w:hAnsiTheme="majorHAnsi" w:cstheme="majorHAnsi"/>
        </w:rPr>
        <w:t xml:space="preserve">no es de nuestro interés abordar detalladamente todos. </w:t>
      </w:r>
      <w:r w:rsidR="00A029E2" w:rsidRPr="00431B04">
        <w:rPr>
          <w:rFonts w:asciiTheme="majorHAnsi" w:hAnsiTheme="majorHAnsi" w:cstheme="majorHAnsi"/>
        </w:rPr>
        <w:t>En ellos pueden existir condiciones que garanticen la bioseguridad de los trabajadores</w:t>
      </w:r>
      <w:r w:rsidR="00812A7F" w:rsidRPr="00431B04">
        <w:rPr>
          <w:rFonts w:asciiTheme="majorHAnsi" w:hAnsiTheme="majorHAnsi" w:cstheme="majorHAnsi"/>
        </w:rPr>
        <w:t>, como en minería o agricultura, por ejemplo</w:t>
      </w:r>
      <w:r w:rsidR="00C86271">
        <w:rPr>
          <w:rFonts w:asciiTheme="majorHAnsi" w:hAnsiTheme="majorHAnsi" w:cstheme="majorHAnsi"/>
        </w:rPr>
        <w:t xml:space="preserve">. </w:t>
      </w:r>
    </w:p>
    <w:p w14:paraId="7A42E556" w14:textId="25EC2E0E" w:rsidR="00E83C17" w:rsidRPr="00431B04" w:rsidRDefault="00C86271" w:rsidP="00A850A3">
      <w:pPr>
        <w:spacing w:after="0"/>
        <w:jc w:val="both"/>
        <w:rPr>
          <w:rFonts w:asciiTheme="majorHAnsi" w:hAnsiTheme="majorHAnsi" w:cstheme="majorHAnsi"/>
        </w:rPr>
      </w:pPr>
      <w:r>
        <w:rPr>
          <w:rFonts w:asciiTheme="majorHAnsi" w:hAnsiTheme="majorHAnsi" w:cstheme="majorHAnsi"/>
        </w:rPr>
        <w:t xml:space="preserve">Nos interesa saber en qué lugares verdaderamente </w:t>
      </w:r>
      <w:r w:rsidR="00891AB6">
        <w:rPr>
          <w:rFonts w:asciiTheme="majorHAnsi" w:hAnsiTheme="majorHAnsi" w:cstheme="majorHAnsi"/>
        </w:rPr>
        <w:t xml:space="preserve">los trabajadores </w:t>
      </w:r>
      <w:r>
        <w:rPr>
          <w:rFonts w:asciiTheme="majorHAnsi" w:hAnsiTheme="majorHAnsi" w:cstheme="majorHAnsi"/>
        </w:rPr>
        <w:t>están expuestos</w:t>
      </w:r>
      <w:r w:rsidR="00891AB6">
        <w:rPr>
          <w:rFonts w:asciiTheme="majorHAnsi" w:hAnsiTheme="majorHAnsi" w:cstheme="majorHAnsi"/>
        </w:rPr>
        <w:t xml:space="preserve"> y, por ende, el desarrollo de sus actividades puede representar</w:t>
      </w:r>
      <w:r w:rsidR="00165249">
        <w:rPr>
          <w:rFonts w:asciiTheme="majorHAnsi" w:hAnsiTheme="majorHAnsi" w:cstheme="majorHAnsi"/>
        </w:rPr>
        <w:t xml:space="preserve"> </w:t>
      </w:r>
      <w:r w:rsidR="00891AB6">
        <w:rPr>
          <w:rFonts w:asciiTheme="majorHAnsi" w:hAnsiTheme="majorHAnsi" w:cstheme="majorHAnsi"/>
        </w:rPr>
        <w:t>riesgo</w:t>
      </w:r>
      <w:r w:rsidR="00CA617C">
        <w:rPr>
          <w:rFonts w:asciiTheme="majorHAnsi" w:hAnsiTheme="majorHAnsi" w:cstheme="majorHAnsi"/>
        </w:rPr>
        <w:t xml:space="preserve"> para más personas</w:t>
      </w:r>
      <w:r w:rsidR="00891AB6">
        <w:rPr>
          <w:rFonts w:asciiTheme="majorHAnsi" w:hAnsiTheme="majorHAnsi" w:cstheme="majorHAnsi"/>
        </w:rPr>
        <w:t>.</w:t>
      </w:r>
      <w:r w:rsidR="00B9264A">
        <w:rPr>
          <w:rFonts w:asciiTheme="majorHAnsi" w:hAnsiTheme="majorHAnsi" w:cstheme="majorHAnsi"/>
        </w:rPr>
        <w:t xml:space="preserve"> </w:t>
      </w:r>
      <w:r w:rsidR="00D1250C">
        <w:rPr>
          <w:rFonts w:asciiTheme="majorHAnsi" w:hAnsiTheme="majorHAnsi" w:cstheme="majorHAnsi"/>
        </w:rPr>
        <w:t xml:space="preserve">Comparemos a un trabajador en una mina, el cual está equipado con una máscara </w:t>
      </w:r>
      <w:r w:rsidR="00156044">
        <w:rPr>
          <w:rFonts w:asciiTheme="majorHAnsi" w:hAnsiTheme="majorHAnsi" w:cstheme="majorHAnsi"/>
        </w:rPr>
        <w:t xml:space="preserve">con filtros </w:t>
      </w:r>
      <w:r w:rsidR="00D1250C">
        <w:rPr>
          <w:rFonts w:asciiTheme="majorHAnsi" w:hAnsiTheme="majorHAnsi" w:cstheme="majorHAnsi"/>
        </w:rPr>
        <w:t xml:space="preserve">y traje; y a un vendedor ambulante de comida en </w:t>
      </w:r>
      <w:r w:rsidR="00D30D68">
        <w:rPr>
          <w:rFonts w:asciiTheme="majorHAnsi" w:hAnsiTheme="majorHAnsi" w:cstheme="majorHAnsi"/>
        </w:rPr>
        <w:t xml:space="preserve">alguna ciudad o, por ejemplo, en algún distrito de </w:t>
      </w:r>
      <w:r w:rsidR="00D1250C">
        <w:rPr>
          <w:rFonts w:asciiTheme="majorHAnsi" w:hAnsiTheme="majorHAnsi" w:cstheme="majorHAnsi"/>
        </w:rPr>
        <w:t>Lima</w:t>
      </w:r>
      <w:r w:rsidR="00D57A65">
        <w:rPr>
          <w:rFonts w:asciiTheme="majorHAnsi" w:hAnsiTheme="majorHAnsi" w:cstheme="majorHAnsi"/>
        </w:rPr>
        <w:t xml:space="preserve"> Metropolitana</w:t>
      </w:r>
      <w:r w:rsidR="00D1250C">
        <w:rPr>
          <w:rFonts w:asciiTheme="majorHAnsi" w:hAnsiTheme="majorHAnsi" w:cstheme="majorHAnsi"/>
        </w:rPr>
        <w:t>.</w:t>
      </w:r>
      <w:r w:rsidR="00165249">
        <w:rPr>
          <w:rFonts w:asciiTheme="majorHAnsi" w:hAnsiTheme="majorHAnsi" w:cstheme="majorHAnsi"/>
        </w:rPr>
        <w:t xml:space="preserve"> Ahora, </w:t>
      </w:r>
      <w:r w:rsidR="00CA617C">
        <w:rPr>
          <w:rFonts w:asciiTheme="majorHAnsi" w:hAnsiTheme="majorHAnsi" w:cstheme="majorHAnsi"/>
        </w:rPr>
        <w:t>¿</w:t>
      </w:r>
      <w:r w:rsidR="00165249">
        <w:rPr>
          <w:rFonts w:asciiTheme="majorHAnsi" w:hAnsiTheme="majorHAnsi" w:cstheme="majorHAnsi"/>
        </w:rPr>
        <w:t>q</w:t>
      </w:r>
      <w:r w:rsidR="00CA617C">
        <w:rPr>
          <w:rFonts w:asciiTheme="majorHAnsi" w:hAnsiTheme="majorHAnsi" w:cstheme="majorHAnsi"/>
        </w:rPr>
        <w:t xml:space="preserve">uién representaría </w:t>
      </w:r>
      <w:r w:rsidR="00156044">
        <w:rPr>
          <w:rFonts w:asciiTheme="majorHAnsi" w:hAnsiTheme="majorHAnsi" w:cstheme="majorHAnsi"/>
        </w:rPr>
        <w:t xml:space="preserve">mucho más </w:t>
      </w:r>
      <w:r w:rsidR="00CA617C">
        <w:rPr>
          <w:rFonts w:asciiTheme="majorHAnsi" w:hAnsiTheme="majorHAnsi" w:cstheme="majorHAnsi"/>
        </w:rPr>
        <w:t xml:space="preserve">riesgo para otras personas? </w:t>
      </w:r>
      <w:r w:rsidR="000417DC">
        <w:rPr>
          <w:rFonts w:asciiTheme="majorHAnsi" w:hAnsiTheme="majorHAnsi" w:cstheme="majorHAnsi"/>
        </w:rPr>
        <w:t>Cuando pensamos en la reactivación</w:t>
      </w:r>
      <w:r w:rsidR="00D57A65">
        <w:rPr>
          <w:rFonts w:asciiTheme="majorHAnsi" w:hAnsiTheme="majorHAnsi" w:cstheme="majorHAnsi"/>
        </w:rPr>
        <w:t xml:space="preserve"> bajo estas condiciones,</w:t>
      </w:r>
      <w:r w:rsidR="000417DC">
        <w:rPr>
          <w:rFonts w:asciiTheme="majorHAnsi" w:hAnsiTheme="majorHAnsi" w:cstheme="majorHAnsi"/>
        </w:rPr>
        <w:t xml:space="preserve"> </w:t>
      </w:r>
      <w:r w:rsidR="00D57A65">
        <w:rPr>
          <w:rFonts w:asciiTheme="majorHAnsi" w:hAnsiTheme="majorHAnsi" w:cstheme="majorHAnsi"/>
        </w:rPr>
        <w:t xml:space="preserve">ya </w:t>
      </w:r>
      <w:r w:rsidR="00156044">
        <w:rPr>
          <w:rFonts w:asciiTheme="majorHAnsi" w:hAnsiTheme="majorHAnsi" w:cstheme="majorHAnsi"/>
        </w:rPr>
        <w:t xml:space="preserve">no nos preocupa mucho </w:t>
      </w:r>
      <w:r w:rsidR="000417DC">
        <w:rPr>
          <w:rFonts w:asciiTheme="majorHAnsi" w:hAnsiTheme="majorHAnsi" w:cstheme="majorHAnsi"/>
        </w:rPr>
        <w:t>el primer grupo</w:t>
      </w:r>
      <w:r w:rsidR="00156044">
        <w:rPr>
          <w:rFonts w:asciiTheme="majorHAnsi" w:hAnsiTheme="majorHAnsi" w:cstheme="majorHAnsi"/>
        </w:rPr>
        <w:t>,</w:t>
      </w:r>
      <w:r w:rsidR="00CA617C">
        <w:rPr>
          <w:rFonts w:asciiTheme="majorHAnsi" w:hAnsiTheme="majorHAnsi" w:cstheme="majorHAnsi"/>
        </w:rPr>
        <w:t xml:space="preserve"> ¿cierto?</w:t>
      </w:r>
      <w:r w:rsidR="00266FC1">
        <w:rPr>
          <w:rFonts w:asciiTheme="majorHAnsi" w:hAnsiTheme="majorHAnsi" w:cstheme="majorHAnsi"/>
        </w:rPr>
        <w:t xml:space="preserve"> </w:t>
      </w:r>
      <w:r w:rsidR="00F31D6E">
        <w:rPr>
          <w:rFonts w:asciiTheme="majorHAnsi" w:hAnsiTheme="majorHAnsi" w:cstheme="majorHAnsi"/>
        </w:rPr>
        <w:t>En base a esta idea y c</w:t>
      </w:r>
      <w:r w:rsidR="000A7C10" w:rsidRPr="00431B04">
        <w:rPr>
          <w:rFonts w:asciiTheme="majorHAnsi" w:hAnsiTheme="majorHAnsi" w:cstheme="majorHAnsi"/>
        </w:rPr>
        <w:t>omo se muestra e</w:t>
      </w:r>
      <w:r w:rsidR="009841F7" w:rsidRPr="00431B04">
        <w:rPr>
          <w:rFonts w:asciiTheme="majorHAnsi" w:hAnsiTheme="majorHAnsi" w:cstheme="majorHAnsi"/>
        </w:rPr>
        <w:t>n el gráfico 2</w:t>
      </w:r>
      <w:r w:rsidR="000A7C10" w:rsidRPr="00431B04">
        <w:rPr>
          <w:rFonts w:asciiTheme="majorHAnsi" w:hAnsiTheme="majorHAnsi" w:cstheme="majorHAnsi"/>
        </w:rPr>
        <w:t>,</w:t>
      </w:r>
      <w:r w:rsidR="009841F7" w:rsidRPr="00431B04">
        <w:rPr>
          <w:rFonts w:asciiTheme="majorHAnsi" w:hAnsiTheme="majorHAnsi" w:cstheme="majorHAnsi"/>
        </w:rPr>
        <w:t xml:space="preserve"> </w:t>
      </w:r>
      <w:r w:rsidR="00E84EDA" w:rsidRPr="00431B04">
        <w:rPr>
          <w:rFonts w:asciiTheme="majorHAnsi" w:hAnsiTheme="majorHAnsi" w:cstheme="majorHAnsi"/>
        </w:rPr>
        <w:t>preferimos prestar más atención</w:t>
      </w:r>
      <w:r w:rsidR="009841F7" w:rsidRPr="00431B04">
        <w:rPr>
          <w:rFonts w:asciiTheme="majorHAnsi" w:hAnsiTheme="majorHAnsi" w:cstheme="majorHAnsi"/>
        </w:rPr>
        <w:t xml:space="preserve"> en el </w:t>
      </w:r>
      <w:r w:rsidR="00E84EDA" w:rsidRPr="00431B04">
        <w:rPr>
          <w:rFonts w:asciiTheme="majorHAnsi" w:hAnsiTheme="majorHAnsi" w:cstheme="majorHAnsi"/>
        </w:rPr>
        <w:t>ámbito</w:t>
      </w:r>
      <w:r w:rsidR="009841F7" w:rsidRPr="00431B04">
        <w:rPr>
          <w:rFonts w:asciiTheme="majorHAnsi" w:hAnsiTheme="majorHAnsi" w:cstheme="majorHAnsi"/>
        </w:rPr>
        <w:t xml:space="preserve"> urbano</w:t>
      </w:r>
      <w:r w:rsidR="00B32A05">
        <w:rPr>
          <w:rFonts w:asciiTheme="majorHAnsi" w:hAnsiTheme="majorHAnsi" w:cstheme="majorHAnsi"/>
        </w:rPr>
        <w:t xml:space="preserve"> </w:t>
      </w:r>
      <w:r w:rsidR="009841F7" w:rsidRPr="00431B04">
        <w:rPr>
          <w:rFonts w:asciiTheme="majorHAnsi" w:hAnsiTheme="majorHAnsi" w:cstheme="majorHAnsi"/>
        </w:rPr>
        <w:t xml:space="preserve">ya que es aquí donde se concentra mayor población </w:t>
      </w:r>
      <w:r w:rsidR="00E84EDA" w:rsidRPr="00431B04">
        <w:rPr>
          <w:rFonts w:asciiTheme="majorHAnsi" w:hAnsiTheme="majorHAnsi" w:cstheme="majorHAnsi"/>
        </w:rPr>
        <w:t>y actividad</w:t>
      </w:r>
      <w:r w:rsidR="009841F7" w:rsidRPr="00431B04">
        <w:rPr>
          <w:rFonts w:asciiTheme="majorHAnsi" w:hAnsiTheme="majorHAnsi" w:cstheme="majorHAnsi"/>
        </w:rPr>
        <w:t>, por lo cual los contagios son más probables</w:t>
      </w:r>
      <w:r w:rsidR="00E84EDA" w:rsidRPr="00431B04">
        <w:rPr>
          <w:rFonts w:asciiTheme="majorHAnsi" w:hAnsiTheme="majorHAnsi" w:cstheme="majorHAnsi"/>
        </w:rPr>
        <w:t>.</w:t>
      </w:r>
    </w:p>
    <w:p w14:paraId="28E0005E" w14:textId="774DAF16" w:rsidR="00E83C17" w:rsidRPr="00431B04" w:rsidRDefault="00E83C17" w:rsidP="005C1167">
      <w:pPr>
        <w:spacing w:after="0" w:line="240" w:lineRule="auto"/>
        <w:jc w:val="both"/>
        <w:rPr>
          <w:rFonts w:asciiTheme="majorHAnsi" w:hAnsiTheme="majorHAnsi" w:cstheme="majorHAnsi"/>
        </w:rPr>
        <w:sectPr w:rsidR="00E83C17" w:rsidRPr="00431B04" w:rsidSect="00285B69">
          <w:type w:val="continuous"/>
          <w:pgSz w:w="11906" w:h="16838"/>
          <w:pgMar w:top="1440" w:right="1440" w:bottom="1440" w:left="1440" w:header="708" w:footer="708" w:gutter="0"/>
          <w:cols w:num="2" w:space="566"/>
          <w:docGrid w:linePitch="360"/>
        </w:sectPr>
      </w:pPr>
    </w:p>
    <w:p w14:paraId="4A7A309C" w14:textId="77777777" w:rsidR="00B05F1C" w:rsidRPr="00431B04" w:rsidRDefault="00B05F1C" w:rsidP="005C1167">
      <w:pPr>
        <w:spacing w:after="0" w:line="240" w:lineRule="auto"/>
        <w:rPr>
          <w:rFonts w:asciiTheme="majorHAnsi" w:hAnsiTheme="majorHAnsi" w:cstheme="majorHAnsi"/>
        </w:rPr>
        <w:sectPr w:rsidR="00B05F1C" w:rsidRPr="00431B04" w:rsidSect="00F04A1E">
          <w:type w:val="continuous"/>
          <w:pgSz w:w="11906" w:h="16838"/>
          <w:pgMar w:top="1440" w:right="1440" w:bottom="1440" w:left="1440" w:header="708" w:footer="708" w:gutter="0"/>
          <w:cols w:space="566"/>
          <w:docGrid w:linePitch="360"/>
        </w:sectPr>
      </w:pPr>
    </w:p>
    <w:p w14:paraId="745C7CAC" w14:textId="0E148FCA" w:rsidR="00F04A1E" w:rsidRPr="00431B04" w:rsidRDefault="00EC0839" w:rsidP="00B431E0">
      <w:pPr>
        <w:spacing w:after="0"/>
        <w:ind w:left="851" w:right="804"/>
        <w:jc w:val="center"/>
        <w:rPr>
          <w:rFonts w:asciiTheme="majorHAnsi" w:hAnsiTheme="majorHAnsi" w:cstheme="majorHAnsi"/>
          <w:sz w:val="20"/>
          <w:szCs w:val="20"/>
        </w:rPr>
      </w:pPr>
      <w:r w:rsidRPr="00431B04">
        <w:rPr>
          <w:rFonts w:asciiTheme="majorHAnsi" w:hAnsiTheme="majorHAnsi" w:cstheme="majorHAnsi"/>
          <w:sz w:val="20"/>
          <w:szCs w:val="20"/>
        </w:rPr>
        <w:t>Gráfico 2. Índice de proximidad (</w:t>
      </w:r>
      <m:oMath>
        <m:r>
          <w:rPr>
            <w:rFonts w:ascii="Cambria Math" w:hAnsi="Cambria Math" w:cstheme="majorHAnsi"/>
            <w:sz w:val="20"/>
            <w:szCs w:val="20"/>
          </w:rPr>
          <m:t>x</m:t>
        </m:r>
      </m:oMath>
      <w:r w:rsidRPr="00431B04">
        <w:rPr>
          <w:rFonts w:asciiTheme="majorHAnsi" w:hAnsiTheme="majorHAnsi" w:cstheme="majorHAnsi"/>
          <w:sz w:val="20"/>
          <w:szCs w:val="20"/>
        </w:rPr>
        <w:t>), ingreso bruto mensual promedio (</w:t>
      </w:r>
      <m:oMath>
        <m:r>
          <w:rPr>
            <w:rFonts w:ascii="Cambria Math" w:hAnsi="Cambria Math" w:cstheme="majorHAnsi"/>
            <w:sz w:val="20"/>
            <w:szCs w:val="20"/>
          </w:rPr>
          <m:t>y</m:t>
        </m:r>
      </m:oMath>
      <w:r w:rsidRPr="00431B04">
        <w:rPr>
          <w:rFonts w:asciiTheme="majorHAnsi" w:hAnsiTheme="majorHAnsi" w:cstheme="majorHAnsi"/>
          <w:sz w:val="20"/>
          <w:szCs w:val="20"/>
        </w:rPr>
        <w:t>), y participación de ocupados en el sector (</w:t>
      </w:r>
      <m:oMath>
        <m:r>
          <w:rPr>
            <w:rFonts w:ascii="Cambria Math" w:hAnsi="Cambria Math" w:cstheme="majorHAnsi"/>
            <w:sz w:val="20"/>
            <w:szCs w:val="20"/>
          </w:rPr>
          <m:t>z</m:t>
        </m:r>
      </m:oMath>
      <w:r w:rsidRPr="00431B04">
        <w:rPr>
          <w:rFonts w:asciiTheme="majorHAnsi" w:hAnsiTheme="majorHAnsi" w:cstheme="majorHAnsi"/>
          <w:sz w:val="20"/>
          <w:szCs w:val="20"/>
        </w:rPr>
        <w:t>) para la PEA urbana</w:t>
      </w:r>
      <w:r w:rsidR="005639E5" w:rsidRPr="00431B04">
        <w:rPr>
          <w:rFonts w:asciiTheme="majorHAnsi" w:hAnsiTheme="majorHAnsi" w:cstheme="majorHAnsi"/>
          <w:sz w:val="20"/>
          <w:szCs w:val="20"/>
        </w:rPr>
        <w:t xml:space="preserve"> de quintiles </w:t>
      </w:r>
      <w:r w:rsidR="00402ACE" w:rsidRPr="00431B04">
        <w:rPr>
          <w:rFonts w:asciiTheme="majorHAnsi" w:hAnsiTheme="majorHAnsi" w:cstheme="majorHAnsi"/>
          <w:sz w:val="20"/>
          <w:szCs w:val="20"/>
        </w:rPr>
        <w:t xml:space="preserve">de ingreso bruto </w:t>
      </w:r>
      <w:r w:rsidR="005639E5" w:rsidRPr="00431B04">
        <w:rPr>
          <w:rFonts w:asciiTheme="majorHAnsi" w:hAnsiTheme="majorHAnsi" w:cstheme="majorHAnsi"/>
          <w:sz w:val="20"/>
          <w:szCs w:val="20"/>
        </w:rPr>
        <w:t xml:space="preserve">1 y 2 </w:t>
      </w:r>
    </w:p>
    <w:p w14:paraId="5F69171A" w14:textId="79E31F21" w:rsidR="00F04A1E" w:rsidRPr="00431B04" w:rsidRDefault="005D1D98" w:rsidP="00EC0839">
      <w:pPr>
        <w:spacing w:after="0"/>
        <w:jc w:val="center"/>
        <w:rPr>
          <w:rFonts w:asciiTheme="majorHAnsi" w:hAnsiTheme="majorHAnsi" w:cstheme="majorHAnsi"/>
        </w:rPr>
      </w:pPr>
      <w:r w:rsidRPr="00431B04">
        <w:rPr>
          <w:noProof/>
        </w:rPr>
        <w:drawing>
          <wp:inline distT="0" distB="0" distL="0" distR="0" wp14:anchorId="192E2FCC" wp14:editId="5C03D40F">
            <wp:extent cx="4680000" cy="2520000"/>
            <wp:effectExtent l="0" t="0" r="6350" b="13970"/>
            <wp:docPr id="4" name="Gráfico 4">
              <a:extLst xmlns:a="http://schemas.openxmlformats.org/drawingml/2006/main">
                <a:ext uri="{FF2B5EF4-FFF2-40B4-BE49-F238E27FC236}">
                  <a16:creationId xmlns:a16="http://schemas.microsoft.com/office/drawing/2014/main" id="{68BF7BEE-D959-47B4-90B7-08B4AFBE3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F9C531" w14:textId="5034E339" w:rsidR="00266FC1" w:rsidRPr="001D6203" w:rsidRDefault="00EC0839" w:rsidP="001D6203">
      <w:pPr>
        <w:spacing w:after="0" w:line="360" w:lineRule="auto"/>
        <w:ind w:left="851" w:right="804"/>
        <w:rPr>
          <w:rFonts w:asciiTheme="majorHAnsi" w:hAnsiTheme="majorHAnsi" w:cstheme="majorHAnsi"/>
          <w:sz w:val="16"/>
          <w:szCs w:val="16"/>
        </w:rPr>
      </w:pPr>
      <w:r w:rsidRPr="00431B04">
        <w:rPr>
          <w:rFonts w:asciiTheme="majorHAnsi" w:hAnsiTheme="majorHAnsi" w:cstheme="majorHAnsi"/>
          <w:sz w:val="16"/>
          <w:szCs w:val="16"/>
        </w:rPr>
        <w:t xml:space="preserve">Fuente: Elaboración propia en base a datos de INEI y ONET. </w:t>
      </w:r>
      <w:r w:rsidR="00430C19" w:rsidRPr="00431B04">
        <w:rPr>
          <w:rFonts w:asciiTheme="majorHAnsi" w:hAnsiTheme="majorHAnsi" w:cstheme="majorHAnsi"/>
          <w:sz w:val="16"/>
          <w:szCs w:val="16"/>
        </w:rPr>
        <w:t>En i</w:t>
      </w:r>
      <w:r w:rsidRPr="00431B04">
        <w:rPr>
          <w:rFonts w:asciiTheme="majorHAnsi" w:hAnsiTheme="majorHAnsi" w:cstheme="majorHAnsi"/>
          <w:sz w:val="16"/>
          <w:szCs w:val="16"/>
        </w:rPr>
        <w:t xml:space="preserve">ngreso bruto mensual promedio: 1 = S/ </w:t>
      </w:r>
      <w:r w:rsidR="00DD5EC1" w:rsidRPr="00431B04">
        <w:rPr>
          <w:rFonts w:asciiTheme="majorHAnsi" w:hAnsiTheme="majorHAnsi" w:cstheme="majorHAnsi"/>
          <w:sz w:val="16"/>
          <w:szCs w:val="16"/>
        </w:rPr>
        <w:t>706.</w:t>
      </w:r>
      <w:r w:rsidR="00F56BEB" w:rsidRPr="00431B04">
        <w:rPr>
          <w:rFonts w:asciiTheme="majorHAnsi" w:hAnsiTheme="majorHAnsi" w:cstheme="majorHAnsi"/>
          <w:sz w:val="16"/>
          <w:szCs w:val="16"/>
        </w:rPr>
        <w:t>2</w:t>
      </w:r>
    </w:p>
    <w:p w14:paraId="03461540" w14:textId="0910EA50" w:rsidR="00266FC1" w:rsidRPr="00431B04" w:rsidRDefault="00266FC1" w:rsidP="00266FC1">
      <w:pPr>
        <w:spacing w:after="0"/>
        <w:rPr>
          <w:rFonts w:asciiTheme="majorHAnsi" w:hAnsiTheme="majorHAnsi" w:cstheme="majorHAnsi"/>
        </w:rPr>
        <w:sectPr w:rsidR="00266FC1" w:rsidRPr="00431B04" w:rsidSect="00F04A1E">
          <w:type w:val="continuous"/>
          <w:pgSz w:w="11906" w:h="16838"/>
          <w:pgMar w:top="1440" w:right="1440" w:bottom="1440" w:left="1440" w:header="708" w:footer="708" w:gutter="0"/>
          <w:cols w:space="566"/>
          <w:docGrid w:linePitch="360"/>
        </w:sectPr>
      </w:pPr>
    </w:p>
    <w:p w14:paraId="690919C6" w14:textId="0A92FDCB" w:rsidR="00E83C17" w:rsidRPr="00431B04" w:rsidRDefault="00964A29" w:rsidP="00230773">
      <w:pPr>
        <w:jc w:val="both"/>
        <w:rPr>
          <w:rFonts w:asciiTheme="majorHAnsi" w:hAnsiTheme="majorHAnsi" w:cstheme="majorHAnsi"/>
        </w:rPr>
      </w:pPr>
      <w:r w:rsidRPr="00431B04">
        <w:rPr>
          <w:rFonts w:asciiTheme="majorHAnsi" w:hAnsiTheme="majorHAnsi" w:cstheme="majorHAnsi"/>
        </w:rPr>
        <w:lastRenderedPageBreak/>
        <w:t>E</w:t>
      </w:r>
      <w:r w:rsidR="00920D6D" w:rsidRPr="00431B04">
        <w:rPr>
          <w:rFonts w:asciiTheme="majorHAnsi" w:hAnsiTheme="majorHAnsi" w:cstheme="majorHAnsi"/>
        </w:rPr>
        <w:t xml:space="preserve">n </w:t>
      </w:r>
      <w:r w:rsidR="000570AF" w:rsidRPr="00431B04">
        <w:rPr>
          <w:rFonts w:asciiTheme="majorHAnsi" w:hAnsiTheme="majorHAnsi" w:cstheme="majorHAnsi"/>
        </w:rPr>
        <w:t>este segundo</w:t>
      </w:r>
      <w:r w:rsidRPr="00431B04">
        <w:rPr>
          <w:rFonts w:asciiTheme="majorHAnsi" w:hAnsiTheme="majorHAnsi" w:cstheme="majorHAnsi"/>
        </w:rPr>
        <w:t xml:space="preserve"> gráfico</w:t>
      </w:r>
      <w:r w:rsidR="00920D6D" w:rsidRPr="00431B04">
        <w:rPr>
          <w:rFonts w:asciiTheme="majorHAnsi" w:hAnsiTheme="majorHAnsi" w:cstheme="majorHAnsi"/>
        </w:rPr>
        <w:t>, el tamaño de las burbujas</w:t>
      </w:r>
      <w:r w:rsidRPr="00431B04">
        <w:rPr>
          <w:rFonts w:asciiTheme="majorHAnsi" w:hAnsiTheme="majorHAnsi" w:cstheme="majorHAnsi"/>
        </w:rPr>
        <w:t xml:space="preserve"> </w:t>
      </w:r>
      <w:r w:rsidR="00230773" w:rsidRPr="00431B04">
        <w:rPr>
          <w:rFonts w:asciiTheme="majorHAnsi" w:hAnsiTheme="majorHAnsi" w:cstheme="majorHAnsi"/>
        </w:rPr>
        <w:t xml:space="preserve">muestra los sectores donde se concentra la mayor cantidad de población dentro de la categoría de </w:t>
      </w:r>
      <w:r w:rsidR="00920D6D" w:rsidRPr="00431B04">
        <w:rPr>
          <w:rFonts w:asciiTheme="majorHAnsi" w:hAnsiTheme="majorHAnsi" w:cstheme="majorHAnsi"/>
        </w:rPr>
        <w:t xml:space="preserve">PEA </w:t>
      </w:r>
      <w:r w:rsidR="008C3E13" w:rsidRPr="00431B04">
        <w:rPr>
          <w:rFonts w:asciiTheme="majorHAnsi" w:hAnsiTheme="majorHAnsi" w:cstheme="majorHAnsi"/>
        </w:rPr>
        <w:t xml:space="preserve">ocupada urbana </w:t>
      </w:r>
      <w:r w:rsidR="00230773" w:rsidRPr="00431B04">
        <w:rPr>
          <w:rFonts w:asciiTheme="majorHAnsi" w:hAnsiTheme="majorHAnsi" w:cstheme="majorHAnsi"/>
        </w:rPr>
        <w:t xml:space="preserve">de quintiles de ingreso bruto 1 y 2; es decir, los quintiles que perciben menores ingresos y estarían sufriendo consecuencias más severas durante la pandemia. </w:t>
      </w:r>
      <w:r w:rsidR="00377C86" w:rsidRPr="00431B04">
        <w:rPr>
          <w:rFonts w:asciiTheme="majorHAnsi" w:hAnsiTheme="majorHAnsi" w:cstheme="majorHAnsi"/>
        </w:rPr>
        <w:t>Vemos que existe un ingreso bruto considerablemente menor al salario mínimo (S/ 706.19 vs S/ 930.00)</w:t>
      </w:r>
      <w:r w:rsidR="00874E69" w:rsidRPr="00431B04">
        <w:rPr>
          <w:rFonts w:asciiTheme="majorHAnsi" w:hAnsiTheme="majorHAnsi" w:cstheme="majorHAnsi"/>
        </w:rPr>
        <w:t>. Asimismo, el valor promedio del índice de proximidad física aquí es de 56.9</w:t>
      </w:r>
      <w:r w:rsidR="00611E99" w:rsidRPr="00431B04">
        <w:rPr>
          <w:rFonts w:asciiTheme="majorHAnsi" w:hAnsiTheme="majorHAnsi" w:cstheme="majorHAnsi"/>
        </w:rPr>
        <w:t xml:space="preserve">, concentrando entre los sectores de </w:t>
      </w:r>
      <w:r w:rsidR="00C302BA" w:rsidRPr="00431B04">
        <w:rPr>
          <w:rFonts w:asciiTheme="majorHAnsi" w:hAnsiTheme="majorHAnsi" w:cstheme="majorHAnsi"/>
        </w:rPr>
        <w:t xml:space="preserve">comercio, manufactura, transporte, construcción, enseñanza, alojamiento y restaurantes, y otros servicios personales a casi el 60% de </w:t>
      </w:r>
      <w:r w:rsidR="001D6203">
        <w:rPr>
          <w:rFonts w:asciiTheme="majorHAnsi" w:hAnsiTheme="majorHAnsi" w:cstheme="majorHAnsi"/>
        </w:rPr>
        <w:t>esta</w:t>
      </w:r>
      <w:r w:rsidR="00C302BA" w:rsidRPr="00431B04">
        <w:rPr>
          <w:rFonts w:asciiTheme="majorHAnsi" w:hAnsiTheme="majorHAnsi" w:cstheme="majorHAnsi"/>
        </w:rPr>
        <w:t xml:space="preserve"> población.</w:t>
      </w:r>
      <w:r w:rsidR="00F24B27" w:rsidRPr="00431B04">
        <w:rPr>
          <w:rFonts w:asciiTheme="majorHAnsi" w:hAnsiTheme="majorHAnsi" w:cstheme="majorHAnsi"/>
        </w:rPr>
        <w:t xml:space="preserve"> Siendo esto así, estas personas tienen un grave problema con la coyuntura.</w:t>
      </w:r>
      <w:r w:rsidR="00E83C17" w:rsidRPr="00431B04">
        <w:rPr>
          <w:rFonts w:asciiTheme="majorHAnsi" w:hAnsiTheme="majorHAnsi" w:cstheme="majorHAnsi"/>
        </w:rPr>
        <w:t xml:space="preserve"> </w:t>
      </w:r>
      <w:r w:rsidR="00920D6D" w:rsidRPr="00431B04">
        <w:rPr>
          <w:rFonts w:asciiTheme="majorHAnsi" w:hAnsiTheme="majorHAnsi" w:cstheme="majorHAnsi"/>
        </w:rPr>
        <w:t>T</w:t>
      </w:r>
      <w:r w:rsidR="00F56261" w:rsidRPr="00431B04">
        <w:rPr>
          <w:rFonts w:asciiTheme="majorHAnsi" w:hAnsiTheme="majorHAnsi" w:cstheme="majorHAnsi"/>
        </w:rPr>
        <w:t>endríamos</w:t>
      </w:r>
      <w:r w:rsidR="0070175F" w:rsidRPr="00431B04">
        <w:rPr>
          <w:rFonts w:asciiTheme="majorHAnsi" w:hAnsiTheme="majorHAnsi" w:cstheme="majorHAnsi"/>
        </w:rPr>
        <w:t>,</w:t>
      </w:r>
      <w:r w:rsidR="00F56261" w:rsidRPr="00431B04">
        <w:rPr>
          <w:rFonts w:asciiTheme="majorHAnsi" w:hAnsiTheme="majorHAnsi" w:cstheme="majorHAnsi"/>
        </w:rPr>
        <w:t xml:space="preserve"> solo </w:t>
      </w:r>
      <w:r w:rsidR="00E542C4" w:rsidRPr="00431B04">
        <w:rPr>
          <w:rFonts w:asciiTheme="majorHAnsi" w:hAnsiTheme="majorHAnsi" w:cstheme="majorHAnsi"/>
        </w:rPr>
        <w:t>en áreas urbanas</w:t>
      </w:r>
      <w:r w:rsidR="0070175F" w:rsidRPr="00431B04">
        <w:rPr>
          <w:rFonts w:asciiTheme="majorHAnsi" w:hAnsiTheme="majorHAnsi" w:cstheme="majorHAnsi"/>
        </w:rPr>
        <w:t>,</w:t>
      </w:r>
      <w:r w:rsidR="00E542C4" w:rsidRPr="00431B04">
        <w:rPr>
          <w:rFonts w:asciiTheme="majorHAnsi" w:hAnsiTheme="majorHAnsi" w:cstheme="majorHAnsi"/>
        </w:rPr>
        <w:t xml:space="preserve"> 858</w:t>
      </w:r>
      <w:r w:rsidR="00FA16DA" w:rsidRPr="00431B04">
        <w:rPr>
          <w:rFonts w:asciiTheme="majorHAnsi" w:hAnsiTheme="majorHAnsi" w:cstheme="majorHAnsi"/>
        </w:rPr>
        <w:t>,</w:t>
      </w:r>
      <w:r w:rsidR="00E542C4" w:rsidRPr="00431B04">
        <w:rPr>
          <w:rFonts w:asciiTheme="majorHAnsi" w:hAnsiTheme="majorHAnsi" w:cstheme="majorHAnsi"/>
        </w:rPr>
        <w:t xml:space="preserve">123 personas </w:t>
      </w:r>
      <w:r w:rsidR="00FB2834" w:rsidRPr="00431B04">
        <w:rPr>
          <w:rFonts w:asciiTheme="majorHAnsi" w:hAnsiTheme="majorHAnsi" w:cstheme="majorHAnsi"/>
        </w:rPr>
        <w:t xml:space="preserve">de la PEA </w:t>
      </w:r>
      <w:r w:rsidR="00F56261" w:rsidRPr="00431B04">
        <w:rPr>
          <w:rFonts w:asciiTheme="majorHAnsi" w:hAnsiTheme="majorHAnsi" w:cstheme="majorHAnsi"/>
        </w:rPr>
        <w:t>que, si salen a trabajar por cuestiones que responden claramente a necesidad, muy probablemente se conviertan en vectores de contagio; además,</w:t>
      </w:r>
      <w:r w:rsidR="00FA16DA" w:rsidRPr="00431B04">
        <w:rPr>
          <w:rFonts w:asciiTheme="majorHAnsi" w:hAnsiTheme="majorHAnsi" w:cstheme="majorHAnsi"/>
        </w:rPr>
        <w:t xml:space="preserve"> </w:t>
      </w:r>
      <w:r w:rsidR="000117B2" w:rsidRPr="00431B04">
        <w:rPr>
          <w:rFonts w:asciiTheme="majorHAnsi" w:hAnsiTheme="majorHAnsi" w:cstheme="majorHAnsi"/>
        </w:rPr>
        <w:t xml:space="preserve">de que </w:t>
      </w:r>
      <w:r w:rsidR="003C52A0" w:rsidRPr="00431B04">
        <w:rPr>
          <w:rFonts w:asciiTheme="majorHAnsi" w:hAnsiTheme="majorHAnsi" w:cstheme="majorHAnsi"/>
        </w:rPr>
        <w:t xml:space="preserve">cada </w:t>
      </w:r>
      <w:r w:rsidR="00FA16DA" w:rsidRPr="00431B04">
        <w:rPr>
          <w:rFonts w:asciiTheme="majorHAnsi" w:hAnsiTheme="majorHAnsi" w:cstheme="majorHAnsi"/>
        </w:rPr>
        <w:t>un</w:t>
      </w:r>
      <w:r w:rsidR="00F56261" w:rsidRPr="00431B04">
        <w:rPr>
          <w:rFonts w:asciiTheme="majorHAnsi" w:hAnsiTheme="majorHAnsi" w:cstheme="majorHAnsi"/>
        </w:rPr>
        <w:t>o</w:t>
      </w:r>
      <w:r w:rsidR="00FA16DA" w:rsidRPr="00431B04">
        <w:rPr>
          <w:rFonts w:asciiTheme="majorHAnsi" w:hAnsiTheme="majorHAnsi" w:cstheme="majorHAnsi"/>
        </w:rPr>
        <w:t xml:space="preserve"> de </w:t>
      </w:r>
      <w:r w:rsidR="003C52A0" w:rsidRPr="00431B04">
        <w:rPr>
          <w:rFonts w:asciiTheme="majorHAnsi" w:hAnsiTheme="majorHAnsi" w:cstheme="majorHAnsi"/>
        </w:rPr>
        <w:t>sus hogares est</w:t>
      </w:r>
      <w:r w:rsidR="00920D6D" w:rsidRPr="00431B04">
        <w:rPr>
          <w:rFonts w:asciiTheme="majorHAnsi" w:hAnsiTheme="majorHAnsi" w:cstheme="majorHAnsi"/>
        </w:rPr>
        <w:t>aría</w:t>
      </w:r>
      <w:r w:rsidR="003C52A0" w:rsidRPr="00431B04">
        <w:rPr>
          <w:rFonts w:asciiTheme="majorHAnsi" w:hAnsiTheme="majorHAnsi" w:cstheme="majorHAnsi"/>
        </w:rPr>
        <w:t xml:space="preserve"> compuesto por </w:t>
      </w:r>
      <w:r w:rsidR="00F56261" w:rsidRPr="00431B04">
        <w:rPr>
          <w:rFonts w:asciiTheme="majorHAnsi" w:hAnsiTheme="majorHAnsi" w:cstheme="majorHAnsi"/>
        </w:rPr>
        <w:t>al menos 2 personas</w:t>
      </w:r>
      <w:r w:rsidR="003C52A0" w:rsidRPr="00431B04">
        <w:rPr>
          <w:rFonts w:asciiTheme="majorHAnsi" w:hAnsiTheme="majorHAnsi" w:cstheme="majorHAnsi"/>
        </w:rPr>
        <w:t xml:space="preserve"> </w:t>
      </w:r>
      <w:r w:rsidR="00FA16DA" w:rsidRPr="00431B04">
        <w:rPr>
          <w:rFonts w:asciiTheme="majorHAnsi" w:hAnsiTheme="majorHAnsi" w:cstheme="majorHAnsi"/>
        </w:rPr>
        <w:t xml:space="preserve">en </w:t>
      </w:r>
      <w:r w:rsidR="003C52A0" w:rsidRPr="00431B04">
        <w:rPr>
          <w:rFonts w:asciiTheme="majorHAnsi" w:hAnsiTheme="majorHAnsi" w:cstheme="majorHAnsi"/>
        </w:rPr>
        <w:t>promedio.</w:t>
      </w:r>
      <w:r w:rsidR="0070175F" w:rsidRPr="00431B04">
        <w:rPr>
          <w:rFonts w:asciiTheme="majorHAnsi" w:hAnsiTheme="majorHAnsi" w:cstheme="majorHAnsi"/>
        </w:rPr>
        <w:t xml:space="preserve"> </w:t>
      </w:r>
    </w:p>
    <w:p w14:paraId="6BD96776" w14:textId="4F8FE00D" w:rsidR="005C1167" w:rsidRPr="00431B04" w:rsidRDefault="0070175F" w:rsidP="007F57F4">
      <w:pPr>
        <w:jc w:val="both"/>
        <w:rPr>
          <w:rFonts w:asciiTheme="majorHAnsi" w:hAnsiTheme="majorHAnsi" w:cstheme="majorHAnsi"/>
        </w:rPr>
      </w:pPr>
      <w:r w:rsidRPr="00431B04">
        <w:rPr>
          <w:rFonts w:asciiTheme="majorHAnsi" w:hAnsiTheme="majorHAnsi" w:cstheme="majorHAnsi"/>
        </w:rPr>
        <w:t xml:space="preserve">¿Qué quiere decir esto? Si se levanta la cuarentena muy temprano, </w:t>
      </w:r>
      <w:r w:rsidR="00C910C2" w:rsidRPr="00431B04">
        <w:rPr>
          <w:rFonts w:asciiTheme="majorHAnsi" w:hAnsiTheme="majorHAnsi" w:cstheme="majorHAnsi"/>
        </w:rPr>
        <w:t>tienes</w:t>
      </w:r>
      <w:r w:rsidRPr="00431B04">
        <w:rPr>
          <w:rFonts w:asciiTheme="majorHAnsi" w:hAnsiTheme="majorHAnsi" w:cstheme="majorHAnsi"/>
        </w:rPr>
        <w:t xml:space="preserve"> un problema</w:t>
      </w:r>
      <w:r w:rsidR="00C910C2" w:rsidRPr="00431B04">
        <w:rPr>
          <w:rFonts w:asciiTheme="majorHAnsi" w:hAnsiTheme="majorHAnsi" w:cstheme="majorHAnsi"/>
        </w:rPr>
        <w:t xml:space="preserve"> grave</w:t>
      </w:r>
      <w:r w:rsidR="00E83C17" w:rsidRPr="00431B04">
        <w:rPr>
          <w:rFonts w:asciiTheme="majorHAnsi" w:hAnsiTheme="majorHAnsi" w:cstheme="majorHAnsi"/>
        </w:rPr>
        <w:t>.</w:t>
      </w:r>
      <w:r w:rsidRPr="00431B04">
        <w:rPr>
          <w:rFonts w:asciiTheme="majorHAnsi" w:hAnsiTheme="majorHAnsi" w:cstheme="majorHAnsi"/>
        </w:rPr>
        <w:t xml:space="preserve"> </w:t>
      </w:r>
      <w:r w:rsidR="00E83C17" w:rsidRPr="00431B04">
        <w:rPr>
          <w:rFonts w:asciiTheme="majorHAnsi" w:hAnsiTheme="majorHAnsi" w:cstheme="majorHAnsi"/>
        </w:rPr>
        <w:t>E</w:t>
      </w:r>
      <w:r w:rsidR="00DC3E94" w:rsidRPr="00431B04">
        <w:rPr>
          <w:rFonts w:asciiTheme="majorHAnsi" w:hAnsiTheme="majorHAnsi" w:cstheme="majorHAnsi"/>
        </w:rPr>
        <w:t xml:space="preserve">s muy probable que </w:t>
      </w:r>
      <w:r w:rsidR="00C910C2" w:rsidRPr="00431B04">
        <w:rPr>
          <w:rFonts w:asciiTheme="majorHAnsi" w:hAnsiTheme="majorHAnsi" w:cstheme="majorHAnsi"/>
        </w:rPr>
        <w:t xml:space="preserve">los </w:t>
      </w:r>
      <w:r w:rsidR="00DC3E94" w:rsidRPr="00431B04">
        <w:rPr>
          <w:rFonts w:asciiTheme="majorHAnsi" w:hAnsiTheme="majorHAnsi" w:cstheme="majorHAnsi"/>
        </w:rPr>
        <w:t>bajos ingresos estén acompañados de condiciones laborales precarias que no responde</w:t>
      </w:r>
      <w:r w:rsidR="00E83C17" w:rsidRPr="00431B04">
        <w:rPr>
          <w:rFonts w:asciiTheme="majorHAnsi" w:hAnsiTheme="majorHAnsi" w:cstheme="majorHAnsi"/>
        </w:rPr>
        <w:t>rían</w:t>
      </w:r>
      <w:r w:rsidR="00DC3E94" w:rsidRPr="00431B04">
        <w:rPr>
          <w:rFonts w:asciiTheme="majorHAnsi" w:hAnsiTheme="majorHAnsi" w:cstheme="majorHAnsi"/>
        </w:rPr>
        <w:t xml:space="preserve"> a un protocolo de bioseguridad</w:t>
      </w:r>
      <w:r w:rsidR="00E83C17" w:rsidRPr="00431B04">
        <w:rPr>
          <w:rFonts w:asciiTheme="majorHAnsi" w:hAnsiTheme="majorHAnsi" w:cstheme="majorHAnsi"/>
        </w:rPr>
        <w:t xml:space="preserve"> adecuado —si es que siquiera los h</w:t>
      </w:r>
      <w:r w:rsidR="004536D9">
        <w:rPr>
          <w:rFonts w:asciiTheme="majorHAnsi" w:hAnsiTheme="majorHAnsi" w:cstheme="majorHAnsi"/>
        </w:rPr>
        <w:t>ubiera</w:t>
      </w:r>
      <w:r w:rsidR="00E83C17" w:rsidRPr="00431B04">
        <w:rPr>
          <w:rFonts w:asciiTheme="majorHAnsi" w:hAnsiTheme="majorHAnsi" w:cstheme="majorHAnsi"/>
        </w:rPr>
        <w:t>—</w:t>
      </w:r>
      <w:r w:rsidR="00774E9B" w:rsidRPr="00431B04">
        <w:rPr>
          <w:rFonts w:asciiTheme="majorHAnsi" w:hAnsiTheme="majorHAnsi" w:cstheme="majorHAnsi"/>
        </w:rPr>
        <w:t xml:space="preserve">, con lo cual ya tienes por lo menos medio millón de personas como </w:t>
      </w:r>
      <w:r w:rsidR="00AA0D84">
        <w:rPr>
          <w:rFonts w:asciiTheme="majorHAnsi" w:hAnsiTheme="majorHAnsi" w:cstheme="majorHAnsi"/>
        </w:rPr>
        <w:t xml:space="preserve">potenciales </w:t>
      </w:r>
      <w:r w:rsidR="00774E9B" w:rsidRPr="00431B04">
        <w:rPr>
          <w:rFonts w:asciiTheme="majorHAnsi" w:hAnsiTheme="majorHAnsi" w:cstheme="majorHAnsi"/>
        </w:rPr>
        <w:t>vectores de contagio</w:t>
      </w:r>
      <w:r w:rsidR="00F06D34">
        <w:rPr>
          <w:rFonts w:asciiTheme="majorHAnsi" w:hAnsiTheme="majorHAnsi" w:cstheme="majorHAnsi"/>
        </w:rPr>
        <w:t xml:space="preserve"> en áreas urbanas</w:t>
      </w:r>
      <w:r w:rsidR="00066ABC">
        <w:rPr>
          <w:rFonts w:asciiTheme="majorHAnsi" w:hAnsiTheme="majorHAnsi" w:cstheme="majorHAnsi"/>
        </w:rPr>
        <w:t xml:space="preserve"> ya que mantienen contacto cercano con otras personas durante el desarrollo sus actividades</w:t>
      </w:r>
      <w:r w:rsidRPr="00431B04">
        <w:rPr>
          <w:rFonts w:asciiTheme="majorHAnsi" w:hAnsiTheme="majorHAnsi" w:cstheme="majorHAnsi"/>
        </w:rPr>
        <w:t xml:space="preserve">. </w:t>
      </w:r>
      <w:r w:rsidR="00DC3E94" w:rsidRPr="00431B04">
        <w:rPr>
          <w:rFonts w:asciiTheme="majorHAnsi" w:hAnsiTheme="majorHAnsi" w:cstheme="majorHAnsi"/>
        </w:rPr>
        <w:t>Por el contrario, s</w:t>
      </w:r>
      <w:r w:rsidRPr="00431B04">
        <w:rPr>
          <w:rFonts w:asciiTheme="majorHAnsi" w:hAnsiTheme="majorHAnsi" w:cstheme="majorHAnsi"/>
        </w:rPr>
        <w:t>i se mantiene mucho tiempo</w:t>
      </w:r>
      <w:r w:rsidR="00E83C17" w:rsidRPr="00431B04">
        <w:rPr>
          <w:rFonts w:asciiTheme="majorHAnsi" w:hAnsiTheme="majorHAnsi" w:cstheme="majorHAnsi"/>
        </w:rPr>
        <w:t>,</w:t>
      </w:r>
      <w:r w:rsidRPr="00431B04">
        <w:rPr>
          <w:rFonts w:asciiTheme="majorHAnsi" w:hAnsiTheme="majorHAnsi" w:cstheme="majorHAnsi"/>
        </w:rPr>
        <w:t xml:space="preserve"> </w:t>
      </w:r>
      <w:r w:rsidR="00DC3E94" w:rsidRPr="00431B04">
        <w:rPr>
          <w:rFonts w:asciiTheme="majorHAnsi" w:hAnsiTheme="majorHAnsi" w:cstheme="majorHAnsi"/>
        </w:rPr>
        <w:t xml:space="preserve">se </w:t>
      </w:r>
      <w:r w:rsidR="00E83C17" w:rsidRPr="00431B04">
        <w:rPr>
          <w:rFonts w:asciiTheme="majorHAnsi" w:hAnsiTheme="majorHAnsi" w:cstheme="majorHAnsi"/>
        </w:rPr>
        <w:t xml:space="preserve">podría </w:t>
      </w:r>
      <w:r w:rsidRPr="00431B04">
        <w:rPr>
          <w:rFonts w:asciiTheme="majorHAnsi" w:hAnsiTheme="majorHAnsi" w:cstheme="majorHAnsi"/>
        </w:rPr>
        <w:t>genera</w:t>
      </w:r>
      <w:r w:rsidR="00DC3E94" w:rsidRPr="00431B04">
        <w:rPr>
          <w:rFonts w:asciiTheme="majorHAnsi" w:hAnsiTheme="majorHAnsi" w:cstheme="majorHAnsi"/>
        </w:rPr>
        <w:t>r</w:t>
      </w:r>
      <w:r w:rsidR="00774E9B" w:rsidRPr="00431B04">
        <w:rPr>
          <w:rFonts w:asciiTheme="majorHAnsi" w:hAnsiTheme="majorHAnsi" w:cstheme="majorHAnsi"/>
        </w:rPr>
        <w:t xml:space="preserve"> cierto recelo en estos sectores de la sociedad</w:t>
      </w:r>
      <w:r w:rsidR="00512BDE">
        <w:rPr>
          <w:rFonts w:asciiTheme="majorHAnsi" w:hAnsiTheme="majorHAnsi" w:cstheme="majorHAnsi"/>
        </w:rPr>
        <w:t>. Esto</w:t>
      </w:r>
      <w:r w:rsidR="007F57F4">
        <w:rPr>
          <w:rFonts w:asciiTheme="majorHAnsi" w:hAnsiTheme="majorHAnsi" w:cstheme="majorHAnsi"/>
        </w:rPr>
        <w:t xml:space="preserve"> sumado a algún discurso conspiratorio</w:t>
      </w:r>
      <w:r w:rsidR="00C46AE9">
        <w:rPr>
          <w:rFonts w:asciiTheme="majorHAnsi" w:hAnsiTheme="majorHAnsi" w:cstheme="majorHAnsi"/>
        </w:rPr>
        <w:t xml:space="preserve"> o que niegue la gravedad de la pandemia</w:t>
      </w:r>
      <w:r w:rsidR="00512BDE">
        <w:rPr>
          <w:rFonts w:asciiTheme="majorHAnsi" w:hAnsiTheme="majorHAnsi" w:cstheme="majorHAnsi"/>
        </w:rPr>
        <w:t>,</w:t>
      </w:r>
      <w:r w:rsidR="007F57F4">
        <w:rPr>
          <w:rFonts w:asciiTheme="majorHAnsi" w:hAnsiTheme="majorHAnsi" w:cstheme="majorHAnsi"/>
        </w:rPr>
        <w:t xml:space="preserve"> y la </w:t>
      </w:r>
      <w:r w:rsidR="00F06D34">
        <w:rPr>
          <w:rFonts w:asciiTheme="majorHAnsi" w:hAnsiTheme="majorHAnsi" w:cstheme="majorHAnsi"/>
        </w:rPr>
        <w:t xml:space="preserve">diferencia en la </w:t>
      </w:r>
      <w:r w:rsidR="007F57F4">
        <w:rPr>
          <w:rFonts w:asciiTheme="majorHAnsi" w:hAnsiTheme="majorHAnsi" w:cstheme="majorHAnsi"/>
        </w:rPr>
        <w:t xml:space="preserve">velocidad </w:t>
      </w:r>
      <w:r w:rsidR="00CB6938">
        <w:rPr>
          <w:rFonts w:asciiTheme="majorHAnsi" w:hAnsiTheme="majorHAnsi" w:cstheme="majorHAnsi"/>
        </w:rPr>
        <w:t xml:space="preserve">a la que viaja la </w:t>
      </w:r>
      <w:r w:rsidR="00F06D34">
        <w:rPr>
          <w:rFonts w:asciiTheme="majorHAnsi" w:hAnsiTheme="majorHAnsi" w:cstheme="majorHAnsi"/>
        </w:rPr>
        <w:t>buena y mala</w:t>
      </w:r>
      <w:r w:rsidR="00512BDE">
        <w:rPr>
          <w:rFonts w:asciiTheme="majorHAnsi" w:hAnsiTheme="majorHAnsi" w:cstheme="majorHAnsi"/>
        </w:rPr>
        <w:t xml:space="preserve"> información</w:t>
      </w:r>
      <w:r w:rsidR="00E77A7F">
        <w:rPr>
          <w:rStyle w:val="Refdenotaalpie"/>
          <w:rFonts w:asciiTheme="majorHAnsi" w:hAnsiTheme="majorHAnsi" w:cstheme="majorHAnsi"/>
        </w:rPr>
        <w:footnoteReference w:id="9"/>
      </w:r>
      <w:r w:rsidR="00C46AE9">
        <w:rPr>
          <w:rFonts w:asciiTheme="majorHAnsi" w:hAnsiTheme="majorHAnsi" w:cstheme="majorHAnsi"/>
        </w:rPr>
        <w:t>,</w:t>
      </w:r>
      <w:r w:rsidR="00774E9B" w:rsidRPr="00431B04">
        <w:rPr>
          <w:rFonts w:asciiTheme="majorHAnsi" w:hAnsiTheme="majorHAnsi" w:cstheme="majorHAnsi"/>
        </w:rPr>
        <w:t xml:space="preserve"> podría </w:t>
      </w:r>
      <w:r w:rsidR="00C46AE9">
        <w:rPr>
          <w:rFonts w:asciiTheme="majorHAnsi" w:hAnsiTheme="majorHAnsi" w:cstheme="majorHAnsi"/>
        </w:rPr>
        <w:t xml:space="preserve">finalmente </w:t>
      </w:r>
      <w:r w:rsidR="00512BDE">
        <w:rPr>
          <w:rFonts w:asciiTheme="majorHAnsi" w:hAnsiTheme="majorHAnsi" w:cstheme="majorHAnsi"/>
        </w:rPr>
        <w:t xml:space="preserve">conducir a la </w:t>
      </w:r>
      <w:r w:rsidR="00774E9B" w:rsidRPr="00431B04">
        <w:rPr>
          <w:rFonts w:asciiTheme="majorHAnsi" w:hAnsiTheme="majorHAnsi" w:cstheme="majorHAnsi"/>
        </w:rPr>
        <w:t xml:space="preserve">desobediencia a la autoridad y </w:t>
      </w:r>
      <w:r w:rsidR="00C46AE9">
        <w:rPr>
          <w:rFonts w:asciiTheme="majorHAnsi" w:hAnsiTheme="majorHAnsi" w:cstheme="majorHAnsi"/>
        </w:rPr>
        <w:t xml:space="preserve">a las </w:t>
      </w:r>
      <w:r w:rsidR="00774E9B" w:rsidRPr="00431B04">
        <w:rPr>
          <w:rFonts w:asciiTheme="majorHAnsi" w:hAnsiTheme="majorHAnsi" w:cstheme="majorHAnsi"/>
        </w:rPr>
        <w:t xml:space="preserve">normas </w:t>
      </w:r>
      <w:r w:rsidR="00774E9B" w:rsidRPr="00431B04">
        <w:rPr>
          <w:rFonts w:asciiTheme="majorHAnsi" w:hAnsiTheme="majorHAnsi" w:cstheme="majorHAnsi"/>
        </w:rPr>
        <w:t>que rigen durante este escenario</w:t>
      </w:r>
      <w:r w:rsidR="008D0D6E">
        <w:rPr>
          <w:rFonts w:asciiTheme="majorHAnsi" w:hAnsiTheme="majorHAnsi" w:cstheme="majorHAnsi"/>
        </w:rPr>
        <w:t>,</w:t>
      </w:r>
      <w:r w:rsidR="00E83C17" w:rsidRPr="00431B04">
        <w:rPr>
          <w:rFonts w:asciiTheme="majorHAnsi" w:hAnsiTheme="majorHAnsi" w:cstheme="majorHAnsi"/>
        </w:rPr>
        <w:t xml:space="preserve"> complicando la situación</w:t>
      </w:r>
      <w:r w:rsidR="008D0D6E">
        <w:rPr>
          <w:rFonts w:asciiTheme="majorHAnsi" w:hAnsiTheme="majorHAnsi" w:cstheme="majorHAnsi"/>
        </w:rPr>
        <w:t xml:space="preserve"> aún más.</w:t>
      </w:r>
    </w:p>
    <w:p w14:paraId="0A034D9C" w14:textId="77777777" w:rsidR="00A01ADF" w:rsidRDefault="00FB2834" w:rsidP="00230773">
      <w:pPr>
        <w:jc w:val="both"/>
        <w:rPr>
          <w:rFonts w:asciiTheme="majorHAnsi" w:hAnsiTheme="majorHAnsi" w:cstheme="majorHAnsi"/>
        </w:rPr>
      </w:pPr>
      <w:r w:rsidRPr="00431B04">
        <w:rPr>
          <w:rFonts w:asciiTheme="majorHAnsi" w:hAnsiTheme="majorHAnsi" w:cstheme="majorHAnsi"/>
        </w:rPr>
        <w:t xml:space="preserve">Nuestro martillazo no parece que vaya a ser muy </w:t>
      </w:r>
      <w:r w:rsidR="00DE76AD" w:rsidRPr="00431B04">
        <w:rPr>
          <w:rFonts w:asciiTheme="majorHAnsi" w:hAnsiTheme="majorHAnsi" w:cstheme="majorHAnsi"/>
        </w:rPr>
        <w:t>efectivo</w:t>
      </w:r>
      <w:r w:rsidRPr="00431B04">
        <w:rPr>
          <w:rFonts w:asciiTheme="majorHAnsi" w:hAnsiTheme="majorHAnsi" w:cstheme="majorHAnsi"/>
        </w:rPr>
        <w:t xml:space="preserve">, </w:t>
      </w:r>
      <w:r w:rsidR="00DE76AD" w:rsidRPr="00431B04">
        <w:rPr>
          <w:rFonts w:asciiTheme="majorHAnsi" w:hAnsiTheme="majorHAnsi" w:cstheme="majorHAnsi"/>
        </w:rPr>
        <w:t xml:space="preserve">la idea </w:t>
      </w:r>
      <w:r w:rsidR="0061410E">
        <w:rPr>
          <w:rFonts w:asciiTheme="majorHAnsi" w:hAnsiTheme="majorHAnsi" w:cstheme="majorHAnsi"/>
        </w:rPr>
        <w:t xml:space="preserve">detrás </w:t>
      </w:r>
      <w:r w:rsidR="009924B3" w:rsidRPr="00431B04">
        <w:rPr>
          <w:rFonts w:asciiTheme="majorHAnsi" w:hAnsiTheme="majorHAnsi" w:cstheme="majorHAnsi"/>
        </w:rPr>
        <w:t>era</w:t>
      </w:r>
      <w:r w:rsidR="00DE76AD" w:rsidRPr="00431B04">
        <w:rPr>
          <w:rFonts w:asciiTheme="majorHAnsi" w:hAnsiTheme="majorHAnsi" w:cstheme="majorHAnsi"/>
        </w:rPr>
        <w:t xml:space="preserve"> que d</w:t>
      </w:r>
      <w:r w:rsidR="0061410E">
        <w:rPr>
          <w:rFonts w:asciiTheme="majorHAnsi" w:hAnsiTheme="majorHAnsi" w:cstheme="majorHAnsi"/>
        </w:rPr>
        <w:t>emos</w:t>
      </w:r>
      <w:r w:rsidR="00DE76AD" w:rsidRPr="00431B04">
        <w:rPr>
          <w:rFonts w:asciiTheme="majorHAnsi" w:hAnsiTheme="majorHAnsi" w:cstheme="majorHAnsi"/>
        </w:rPr>
        <w:t xml:space="preserve"> un</w:t>
      </w:r>
      <w:r w:rsidR="00D708E9">
        <w:rPr>
          <w:rFonts w:asciiTheme="majorHAnsi" w:hAnsiTheme="majorHAnsi" w:cstheme="majorHAnsi"/>
        </w:rPr>
        <w:t>o</w:t>
      </w:r>
      <w:r w:rsidR="00DE76AD" w:rsidRPr="00431B04">
        <w:rPr>
          <w:rFonts w:asciiTheme="majorHAnsi" w:hAnsiTheme="majorHAnsi" w:cstheme="majorHAnsi"/>
        </w:rPr>
        <w:t xml:space="preserve"> verdadero, no uno a medias</w:t>
      </w:r>
      <w:r w:rsidR="00B5535D" w:rsidRPr="00431B04">
        <w:rPr>
          <w:rStyle w:val="Refdenotaalpie"/>
          <w:rFonts w:asciiTheme="majorHAnsi" w:hAnsiTheme="majorHAnsi" w:cstheme="majorHAnsi"/>
        </w:rPr>
        <w:footnoteReference w:id="10"/>
      </w:r>
      <w:r w:rsidR="0061410E">
        <w:rPr>
          <w:rFonts w:asciiTheme="majorHAnsi" w:hAnsiTheme="majorHAnsi" w:cstheme="majorHAnsi"/>
        </w:rPr>
        <w:t>.</w:t>
      </w:r>
      <w:r w:rsidR="00DE76AD" w:rsidRPr="00431B04">
        <w:rPr>
          <w:rFonts w:asciiTheme="majorHAnsi" w:hAnsiTheme="majorHAnsi" w:cstheme="majorHAnsi"/>
        </w:rPr>
        <w:t xml:space="preserve"> </w:t>
      </w:r>
      <w:r w:rsidR="00661CE9">
        <w:rPr>
          <w:rFonts w:asciiTheme="majorHAnsi" w:hAnsiTheme="majorHAnsi" w:cstheme="majorHAnsi"/>
        </w:rPr>
        <w:t xml:space="preserve">La </w:t>
      </w:r>
      <w:r w:rsidR="006010F7" w:rsidRPr="00431B04">
        <w:rPr>
          <w:rFonts w:asciiTheme="majorHAnsi" w:hAnsiTheme="majorHAnsi" w:cstheme="majorHAnsi"/>
        </w:rPr>
        <w:t xml:space="preserve">fortaleza </w:t>
      </w:r>
      <w:r w:rsidR="00661CE9">
        <w:rPr>
          <w:rFonts w:asciiTheme="majorHAnsi" w:hAnsiTheme="majorHAnsi" w:cstheme="majorHAnsi"/>
        </w:rPr>
        <w:t xml:space="preserve">que nos ha brindado los más de quince años de disciplina fiscal </w:t>
      </w:r>
      <w:r w:rsidR="006010F7" w:rsidRPr="00431B04">
        <w:rPr>
          <w:rFonts w:asciiTheme="majorHAnsi" w:hAnsiTheme="majorHAnsi" w:cstheme="majorHAnsi"/>
        </w:rPr>
        <w:t>nos permite maniobrar bien</w:t>
      </w:r>
      <w:r w:rsidR="003F5FF8">
        <w:rPr>
          <w:rFonts w:asciiTheme="majorHAnsi" w:hAnsiTheme="majorHAnsi" w:cstheme="majorHAnsi"/>
        </w:rPr>
        <w:t xml:space="preserve"> por el momento;</w:t>
      </w:r>
      <w:r w:rsidR="006010F7" w:rsidRPr="00431B04">
        <w:rPr>
          <w:rFonts w:asciiTheme="majorHAnsi" w:hAnsiTheme="majorHAnsi" w:cstheme="majorHAnsi"/>
        </w:rPr>
        <w:t xml:space="preserve"> pero l</w:t>
      </w:r>
      <w:r w:rsidR="00F75DD1" w:rsidRPr="00431B04">
        <w:rPr>
          <w:rFonts w:asciiTheme="majorHAnsi" w:hAnsiTheme="majorHAnsi" w:cstheme="majorHAnsi"/>
        </w:rPr>
        <w:t xml:space="preserve">o cierto es que </w:t>
      </w:r>
      <w:r w:rsidR="00A46B6A" w:rsidRPr="00431B04">
        <w:rPr>
          <w:rFonts w:asciiTheme="majorHAnsi" w:hAnsiTheme="majorHAnsi" w:cstheme="majorHAnsi"/>
        </w:rPr>
        <w:t>la</w:t>
      </w:r>
      <w:r w:rsidR="00F75DD1" w:rsidRPr="00431B04">
        <w:rPr>
          <w:rFonts w:asciiTheme="majorHAnsi" w:hAnsiTheme="majorHAnsi" w:cstheme="majorHAnsi"/>
        </w:rPr>
        <w:t xml:space="preserve"> tasa de informalidad</w:t>
      </w:r>
      <w:r w:rsidR="006010F7" w:rsidRPr="00431B04">
        <w:rPr>
          <w:rFonts w:asciiTheme="majorHAnsi" w:hAnsiTheme="majorHAnsi" w:cstheme="majorHAnsi"/>
        </w:rPr>
        <w:t xml:space="preserve"> en Perú</w:t>
      </w:r>
      <w:r w:rsidR="00A85EB3" w:rsidRPr="00431B04">
        <w:rPr>
          <w:rFonts w:asciiTheme="majorHAnsi" w:hAnsiTheme="majorHAnsi" w:cstheme="majorHAnsi"/>
        </w:rPr>
        <w:t>,</w:t>
      </w:r>
      <w:r w:rsidR="00F75DD1" w:rsidRPr="00431B04">
        <w:rPr>
          <w:rFonts w:asciiTheme="majorHAnsi" w:hAnsiTheme="majorHAnsi" w:cstheme="majorHAnsi"/>
        </w:rPr>
        <w:t xml:space="preserve"> </w:t>
      </w:r>
      <w:r w:rsidR="00A85EB3" w:rsidRPr="00431B04">
        <w:rPr>
          <w:rFonts w:asciiTheme="majorHAnsi" w:hAnsiTheme="majorHAnsi" w:cstheme="majorHAnsi"/>
        </w:rPr>
        <w:t xml:space="preserve">la cual </w:t>
      </w:r>
      <w:r w:rsidR="00F75DD1" w:rsidRPr="00431B04">
        <w:rPr>
          <w:rFonts w:asciiTheme="majorHAnsi" w:hAnsiTheme="majorHAnsi" w:cstheme="majorHAnsi"/>
        </w:rPr>
        <w:t>siempre ha estado cerca al 70% a la largo de los años</w:t>
      </w:r>
      <w:r w:rsidR="006010F7" w:rsidRPr="00431B04">
        <w:rPr>
          <w:rFonts w:asciiTheme="majorHAnsi" w:hAnsiTheme="majorHAnsi" w:cstheme="majorHAnsi"/>
        </w:rPr>
        <w:t>,</w:t>
      </w:r>
      <w:r w:rsidR="00F75DD1" w:rsidRPr="00431B04">
        <w:rPr>
          <w:rFonts w:asciiTheme="majorHAnsi" w:hAnsiTheme="majorHAnsi" w:cstheme="majorHAnsi"/>
        </w:rPr>
        <w:t xml:space="preserve"> </w:t>
      </w:r>
      <w:r w:rsidR="006010F7" w:rsidRPr="00431B04">
        <w:rPr>
          <w:rFonts w:asciiTheme="majorHAnsi" w:hAnsiTheme="majorHAnsi" w:cstheme="majorHAnsi"/>
        </w:rPr>
        <w:t>junto con la pobre institucionalidad a nivel local</w:t>
      </w:r>
      <w:r w:rsidR="005E7ECF">
        <w:rPr>
          <w:rFonts w:asciiTheme="majorHAnsi" w:hAnsiTheme="majorHAnsi" w:cstheme="majorHAnsi"/>
        </w:rPr>
        <w:t xml:space="preserve"> y en el Estado en general</w:t>
      </w:r>
      <w:r w:rsidR="006010F7" w:rsidRPr="00431B04">
        <w:rPr>
          <w:rFonts w:asciiTheme="majorHAnsi" w:hAnsiTheme="majorHAnsi" w:cstheme="majorHAnsi"/>
        </w:rPr>
        <w:t>, son dos aspectos que nos</w:t>
      </w:r>
      <w:r w:rsidR="00A46B6A" w:rsidRPr="00431B04">
        <w:rPr>
          <w:rFonts w:asciiTheme="majorHAnsi" w:hAnsiTheme="majorHAnsi" w:cstheme="majorHAnsi"/>
        </w:rPr>
        <w:t xml:space="preserve"> está</w:t>
      </w:r>
      <w:r w:rsidR="00A85EB3" w:rsidRPr="00431B04">
        <w:rPr>
          <w:rFonts w:asciiTheme="majorHAnsi" w:hAnsiTheme="majorHAnsi" w:cstheme="majorHAnsi"/>
        </w:rPr>
        <w:t>n</w:t>
      </w:r>
      <w:r w:rsidR="00A46B6A" w:rsidRPr="00431B04">
        <w:rPr>
          <w:rFonts w:asciiTheme="majorHAnsi" w:hAnsiTheme="majorHAnsi" w:cstheme="majorHAnsi"/>
        </w:rPr>
        <w:t xml:space="preserve"> afectando bastant</w:t>
      </w:r>
      <w:r w:rsidR="006010F7" w:rsidRPr="00431B04">
        <w:rPr>
          <w:rFonts w:asciiTheme="majorHAnsi" w:hAnsiTheme="majorHAnsi" w:cstheme="majorHAnsi"/>
        </w:rPr>
        <w:t>e</w:t>
      </w:r>
      <w:r w:rsidR="003F5FF8">
        <w:rPr>
          <w:rFonts w:asciiTheme="majorHAnsi" w:hAnsiTheme="majorHAnsi" w:cstheme="majorHAnsi"/>
        </w:rPr>
        <w:t xml:space="preserve"> durante esta pandemia</w:t>
      </w:r>
      <w:r w:rsidR="00A46B6A" w:rsidRPr="00431B04">
        <w:rPr>
          <w:rFonts w:asciiTheme="majorHAnsi" w:hAnsiTheme="majorHAnsi" w:cstheme="majorHAnsi"/>
        </w:rPr>
        <w:t>.</w:t>
      </w:r>
      <w:r w:rsidR="009A177E">
        <w:rPr>
          <w:rFonts w:asciiTheme="majorHAnsi" w:hAnsiTheme="majorHAnsi" w:cstheme="majorHAnsi"/>
        </w:rPr>
        <w:t xml:space="preserve"> </w:t>
      </w:r>
      <w:r w:rsidR="0061410E">
        <w:rPr>
          <w:rFonts w:asciiTheme="majorHAnsi" w:hAnsiTheme="majorHAnsi" w:cstheme="majorHAnsi"/>
        </w:rPr>
        <w:t>Muy p</w:t>
      </w:r>
      <w:r w:rsidR="006010F7" w:rsidRPr="00431B04">
        <w:rPr>
          <w:rFonts w:asciiTheme="majorHAnsi" w:hAnsiTheme="majorHAnsi" w:cstheme="majorHAnsi"/>
        </w:rPr>
        <w:t>robablemente el sistema de salud termine colapsando</w:t>
      </w:r>
      <w:r w:rsidR="0061410E">
        <w:rPr>
          <w:rFonts w:asciiTheme="majorHAnsi" w:hAnsiTheme="majorHAnsi" w:cstheme="majorHAnsi"/>
        </w:rPr>
        <w:t xml:space="preserve"> y lleguemos a situaciones como la de Italia, donde se tenga que elegir a quienes conectar a un respirador artificial, y a quienes solo dejarlos esperar su muerte.</w:t>
      </w:r>
      <w:r w:rsidR="006010F7" w:rsidRPr="00431B04">
        <w:rPr>
          <w:rFonts w:asciiTheme="majorHAnsi" w:hAnsiTheme="majorHAnsi" w:cstheme="majorHAnsi"/>
        </w:rPr>
        <w:t xml:space="preserve"> </w:t>
      </w:r>
      <w:r w:rsidR="0061410E">
        <w:rPr>
          <w:rFonts w:asciiTheme="majorHAnsi" w:hAnsiTheme="majorHAnsi" w:cstheme="majorHAnsi"/>
        </w:rPr>
        <w:t>M</w:t>
      </w:r>
      <w:r w:rsidR="00F75DD1" w:rsidRPr="00431B04">
        <w:rPr>
          <w:rFonts w:asciiTheme="majorHAnsi" w:hAnsiTheme="majorHAnsi" w:cstheme="majorHAnsi"/>
        </w:rPr>
        <w:t xml:space="preserve">uchas de esas </w:t>
      </w:r>
      <w:r w:rsidR="00A46B6A" w:rsidRPr="00431B04">
        <w:rPr>
          <w:rFonts w:asciiTheme="majorHAnsi" w:hAnsiTheme="majorHAnsi" w:cstheme="majorHAnsi"/>
        </w:rPr>
        <w:t xml:space="preserve">más </w:t>
      </w:r>
      <w:r w:rsidR="00F75DD1" w:rsidRPr="00431B04">
        <w:rPr>
          <w:rFonts w:asciiTheme="majorHAnsi" w:hAnsiTheme="majorHAnsi" w:cstheme="majorHAnsi"/>
        </w:rPr>
        <w:t>800 mil personas pertene</w:t>
      </w:r>
      <w:r w:rsidR="006010F7" w:rsidRPr="00431B04">
        <w:rPr>
          <w:rFonts w:asciiTheme="majorHAnsi" w:hAnsiTheme="majorHAnsi" w:cstheme="majorHAnsi"/>
        </w:rPr>
        <w:t>cen</w:t>
      </w:r>
      <w:r w:rsidR="00F75DD1" w:rsidRPr="00431B04">
        <w:rPr>
          <w:rFonts w:asciiTheme="majorHAnsi" w:hAnsiTheme="majorHAnsi" w:cstheme="majorHAnsi"/>
        </w:rPr>
        <w:t xml:space="preserve"> al sector informal</w:t>
      </w:r>
      <w:r w:rsidR="0061410E">
        <w:rPr>
          <w:rFonts w:asciiTheme="majorHAnsi" w:hAnsiTheme="majorHAnsi" w:cstheme="majorHAnsi"/>
        </w:rPr>
        <w:t>;</w:t>
      </w:r>
      <w:r w:rsidR="005E7ECF">
        <w:rPr>
          <w:rFonts w:asciiTheme="majorHAnsi" w:hAnsiTheme="majorHAnsi" w:cstheme="majorHAnsi"/>
        </w:rPr>
        <w:t xml:space="preserve"> </w:t>
      </w:r>
      <w:r w:rsidR="0061410E">
        <w:rPr>
          <w:rFonts w:asciiTheme="majorHAnsi" w:hAnsiTheme="majorHAnsi" w:cstheme="majorHAnsi"/>
        </w:rPr>
        <w:t>d</w:t>
      </w:r>
      <w:r w:rsidR="005E7ECF">
        <w:rPr>
          <w:rFonts w:asciiTheme="majorHAnsi" w:hAnsiTheme="majorHAnsi" w:cstheme="majorHAnsi"/>
        </w:rPr>
        <w:t xml:space="preserve">e hecho, un poco más del </w:t>
      </w:r>
      <w:r w:rsidR="005E7ECF" w:rsidRPr="005E7ECF">
        <w:rPr>
          <w:rFonts w:asciiTheme="majorHAnsi" w:hAnsiTheme="majorHAnsi" w:cstheme="majorHAnsi"/>
        </w:rPr>
        <w:t xml:space="preserve">89% de </w:t>
      </w:r>
      <w:r w:rsidR="0061410E">
        <w:rPr>
          <w:rFonts w:asciiTheme="majorHAnsi" w:hAnsiTheme="majorHAnsi" w:cstheme="majorHAnsi"/>
        </w:rPr>
        <w:t xml:space="preserve">ellas </w:t>
      </w:r>
      <w:r w:rsidR="005E7ECF" w:rsidRPr="005E7ECF">
        <w:rPr>
          <w:rFonts w:asciiTheme="majorHAnsi" w:hAnsiTheme="majorHAnsi" w:cstheme="majorHAnsi"/>
        </w:rPr>
        <w:t>se encuentra en situación de empleo informal en su actividad principal</w:t>
      </w:r>
      <w:r w:rsidR="00824199" w:rsidRPr="00431B04">
        <w:rPr>
          <w:rStyle w:val="Refdenotaalpie"/>
          <w:rFonts w:asciiTheme="majorHAnsi" w:hAnsiTheme="majorHAnsi" w:cstheme="majorHAnsi"/>
        </w:rPr>
        <w:footnoteReference w:id="11"/>
      </w:r>
      <w:r w:rsidR="00F1337C">
        <w:rPr>
          <w:rFonts w:asciiTheme="majorHAnsi" w:hAnsiTheme="majorHAnsi" w:cstheme="majorHAnsi"/>
        </w:rPr>
        <w:t xml:space="preserve">. </w:t>
      </w:r>
      <w:r w:rsidR="0018115E">
        <w:rPr>
          <w:rFonts w:asciiTheme="majorHAnsi" w:hAnsiTheme="majorHAnsi" w:cstheme="majorHAnsi"/>
        </w:rPr>
        <w:t xml:space="preserve">Así, las poblaciones vulnerables </w:t>
      </w:r>
      <w:r w:rsidR="000652D9">
        <w:rPr>
          <w:rFonts w:asciiTheme="majorHAnsi" w:hAnsiTheme="majorHAnsi" w:cstheme="majorHAnsi"/>
        </w:rPr>
        <w:t xml:space="preserve">y en condiciones de informalidad, </w:t>
      </w:r>
      <w:r w:rsidR="00A40567">
        <w:rPr>
          <w:rFonts w:asciiTheme="majorHAnsi" w:hAnsiTheme="majorHAnsi" w:cstheme="majorHAnsi"/>
        </w:rPr>
        <w:t>m</w:t>
      </w:r>
      <w:r w:rsidR="00A85EB3" w:rsidRPr="00431B04">
        <w:rPr>
          <w:rFonts w:asciiTheme="majorHAnsi" w:hAnsiTheme="majorHAnsi" w:cstheme="majorHAnsi"/>
        </w:rPr>
        <w:t xml:space="preserve">uy difícilmente </w:t>
      </w:r>
      <w:r w:rsidR="0018115E">
        <w:rPr>
          <w:rFonts w:asciiTheme="majorHAnsi" w:hAnsiTheme="majorHAnsi" w:cstheme="majorHAnsi"/>
        </w:rPr>
        <w:t xml:space="preserve">llegarán </w:t>
      </w:r>
      <w:r w:rsidR="00A85EB3" w:rsidRPr="00431B04">
        <w:rPr>
          <w:rFonts w:asciiTheme="majorHAnsi" w:hAnsiTheme="majorHAnsi" w:cstheme="majorHAnsi"/>
        </w:rPr>
        <w:t xml:space="preserve">a la danza </w:t>
      </w:r>
      <w:r w:rsidR="000652D9">
        <w:rPr>
          <w:rFonts w:asciiTheme="majorHAnsi" w:hAnsiTheme="majorHAnsi" w:cstheme="majorHAnsi"/>
        </w:rPr>
        <w:t xml:space="preserve">de </w:t>
      </w:r>
      <w:r w:rsidR="00A85EB3" w:rsidRPr="00431B04">
        <w:rPr>
          <w:rFonts w:asciiTheme="majorHAnsi" w:hAnsiTheme="majorHAnsi" w:cstheme="majorHAnsi"/>
        </w:rPr>
        <w:t>Pueyo</w:t>
      </w:r>
      <w:r w:rsidR="000652D9">
        <w:rPr>
          <w:rFonts w:asciiTheme="majorHAnsi" w:hAnsiTheme="majorHAnsi" w:cstheme="majorHAnsi"/>
        </w:rPr>
        <w:t>.</w:t>
      </w:r>
      <w:r w:rsidR="004F1E4C">
        <w:rPr>
          <w:rFonts w:asciiTheme="majorHAnsi" w:hAnsiTheme="majorHAnsi" w:cstheme="majorHAnsi"/>
        </w:rPr>
        <w:t xml:space="preserve"> </w:t>
      </w:r>
    </w:p>
    <w:p w14:paraId="5FE98B7A" w14:textId="178B6AD4" w:rsidR="00B05F1C" w:rsidRPr="00431B04" w:rsidRDefault="004F1E4C" w:rsidP="00230773">
      <w:pPr>
        <w:jc w:val="both"/>
        <w:rPr>
          <w:rFonts w:asciiTheme="majorHAnsi" w:hAnsiTheme="majorHAnsi" w:cstheme="majorHAnsi"/>
        </w:rPr>
      </w:pPr>
      <w:r>
        <w:rPr>
          <w:rFonts w:asciiTheme="majorHAnsi" w:hAnsiTheme="majorHAnsi" w:cstheme="majorHAnsi"/>
        </w:rPr>
        <w:t>En la reactivación, las autoridades deberán garantizar una adecuada fiscalización, haciendo que muchos de los que se encuentran en el sector informal se vayan a su casa</w:t>
      </w:r>
      <w:r w:rsidR="00186A00">
        <w:rPr>
          <w:rFonts w:asciiTheme="majorHAnsi" w:hAnsiTheme="majorHAnsi" w:cstheme="majorHAnsi"/>
        </w:rPr>
        <w:t>;</w:t>
      </w:r>
      <w:r w:rsidR="00FC55BA">
        <w:rPr>
          <w:rFonts w:asciiTheme="majorHAnsi" w:hAnsiTheme="majorHAnsi" w:cstheme="majorHAnsi"/>
        </w:rPr>
        <w:t xml:space="preserve"> y</w:t>
      </w:r>
      <w:r w:rsidR="00186A00">
        <w:rPr>
          <w:rFonts w:asciiTheme="majorHAnsi" w:hAnsiTheme="majorHAnsi" w:cstheme="majorHAnsi"/>
        </w:rPr>
        <w:t>,</w:t>
      </w:r>
      <w:r w:rsidR="00FC55BA">
        <w:rPr>
          <w:rFonts w:asciiTheme="majorHAnsi" w:hAnsiTheme="majorHAnsi" w:cstheme="majorHAnsi"/>
        </w:rPr>
        <w:t xml:space="preserve"> al mismo tiempo, </w:t>
      </w:r>
      <w:r w:rsidR="00186A00">
        <w:rPr>
          <w:rFonts w:asciiTheme="majorHAnsi" w:hAnsiTheme="majorHAnsi" w:cstheme="majorHAnsi"/>
        </w:rPr>
        <w:t>incrementando la presión social porque verdaderamente hay quienes necesitan trabajar para comer.</w:t>
      </w:r>
      <w:r w:rsidR="0088668D">
        <w:rPr>
          <w:rFonts w:asciiTheme="majorHAnsi" w:hAnsiTheme="majorHAnsi" w:cstheme="majorHAnsi"/>
        </w:rPr>
        <w:t xml:space="preserve"> Los esfuerzos </w:t>
      </w:r>
      <w:r w:rsidR="00DC638F">
        <w:rPr>
          <w:rFonts w:asciiTheme="majorHAnsi" w:hAnsiTheme="majorHAnsi" w:cstheme="majorHAnsi"/>
        </w:rPr>
        <w:t xml:space="preserve">también </w:t>
      </w:r>
      <w:r w:rsidR="0088668D">
        <w:rPr>
          <w:rFonts w:asciiTheme="majorHAnsi" w:hAnsiTheme="majorHAnsi" w:cstheme="majorHAnsi"/>
        </w:rPr>
        <w:t xml:space="preserve">deben </w:t>
      </w:r>
      <w:r w:rsidR="00DC638F">
        <w:rPr>
          <w:rFonts w:asciiTheme="majorHAnsi" w:hAnsiTheme="majorHAnsi" w:cstheme="majorHAnsi"/>
        </w:rPr>
        <w:t>destinar</w:t>
      </w:r>
      <w:r w:rsidR="009A3431">
        <w:rPr>
          <w:rFonts w:asciiTheme="majorHAnsi" w:hAnsiTheme="majorHAnsi" w:cstheme="majorHAnsi"/>
        </w:rPr>
        <w:t>se</w:t>
      </w:r>
      <w:r w:rsidR="00DC638F">
        <w:rPr>
          <w:rFonts w:asciiTheme="majorHAnsi" w:hAnsiTheme="majorHAnsi" w:cstheme="majorHAnsi"/>
        </w:rPr>
        <w:t xml:space="preserve"> </w:t>
      </w:r>
      <w:r w:rsidR="0088668D">
        <w:rPr>
          <w:rFonts w:asciiTheme="majorHAnsi" w:hAnsiTheme="majorHAnsi" w:cstheme="majorHAnsi"/>
        </w:rPr>
        <w:t>a disminuir esa presión</w:t>
      </w:r>
      <w:r w:rsidR="00DC638F">
        <w:rPr>
          <w:rFonts w:asciiTheme="majorHAnsi" w:hAnsiTheme="majorHAnsi" w:cstheme="majorHAnsi"/>
        </w:rPr>
        <w:t xml:space="preserve"> y su</w:t>
      </w:r>
      <w:r w:rsidR="00BD6E66">
        <w:rPr>
          <w:rFonts w:asciiTheme="majorHAnsi" w:hAnsiTheme="majorHAnsi" w:cstheme="majorHAnsi"/>
        </w:rPr>
        <w:t>s</w:t>
      </w:r>
      <w:r w:rsidR="00DC638F">
        <w:rPr>
          <w:rFonts w:asciiTheme="majorHAnsi" w:hAnsiTheme="majorHAnsi" w:cstheme="majorHAnsi"/>
        </w:rPr>
        <w:t xml:space="preserve"> causa</w:t>
      </w:r>
      <w:r w:rsidR="00BD6E66">
        <w:rPr>
          <w:rFonts w:asciiTheme="majorHAnsi" w:hAnsiTheme="majorHAnsi" w:cstheme="majorHAnsi"/>
        </w:rPr>
        <w:t>s</w:t>
      </w:r>
      <w:r w:rsidR="00DC638F">
        <w:rPr>
          <w:rFonts w:asciiTheme="majorHAnsi" w:hAnsiTheme="majorHAnsi" w:cstheme="majorHAnsi"/>
        </w:rPr>
        <w:t>.</w:t>
      </w:r>
    </w:p>
    <w:sectPr w:rsidR="00B05F1C" w:rsidRPr="00431B04" w:rsidSect="00230773">
      <w:type w:val="continuous"/>
      <w:pgSz w:w="11906" w:h="16838"/>
      <w:pgMar w:top="1440" w:right="1440" w:bottom="1440" w:left="1440" w:header="708" w:footer="708"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C5814" w14:textId="77777777" w:rsidR="003B75F4" w:rsidRDefault="003B75F4" w:rsidP="00C84633">
      <w:pPr>
        <w:spacing w:after="0" w:line="240" w:lineRule="auto"/>
      </w:pPr>
      <w:r>
        <w:separator/>
      </w:r>
    </w:p>
  </w:endnote>
  <w:endnote w:type="continuationSeparator" w:id="0">
    <w:p w14:paraId="7B2B6F26" w14:textId="77777777" w:rsidR="003B75F4" w:rsidRDefault="003B75F4" w:rsidP="00C8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71DD0" w14:textId="77777777" w:rsidR="003B75F4" w:rsidRDefault="003B75F4" w:rsidP="00C84633">
      <w:pPr>
        <w:spacing w:after="0" w:line="240" w:lineRule="auto"/>
      </w:pPr>
      <w:r>
        <w:separator/>
      </w:r>
    </w:p>
  </w:footnote>
  <w:footnote w:type="continuationSeparator" w:id="0">
    <w:p w14:paraId="6B0944FB" w14:textId="77777777" w:rsidR="003B75F4" w:rsidRDefault="003B75F4" w:rsidP="00C84633">
      <w:pPr>
        <w:spacing w:after="0" w:line="240" w:lineRule="auto"/>
      </w:pPr>
      <w:r>
        <w:continuationSeparator/>
      </w:r>
    </w:p>
  </w:footnote>
  <w:footnote w:id="1">
    <w:p w14:paraId="66092F0E" w14:textId="03FE1237" w:rsidR="00D16346" w:rsidRPr="002F5E89" w:rsidRDefault="00D16346" w:rsidP="00D16346">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lang w:val="en-US"/>
        </w:rPr>
        <w:t xml:space="preserve"> </w:t>
      </w:r>
      <w:r w:rsidR="003B75F4">
        <w:fldChar w:fldCharType="begin"/>
      </w:r>
      <w:r w:rsidR="003B75F4" w:rsidRPr="00B5166D">
        <w:rPr>
          <w:lang w:val="en-US"/>
        </w:rPr>
        <w:instrText xml:space="preserve"> HYPERLINK "mailto:drodrigosanchezn@gmail.com" </w:instrText>
      </w:r>
      <w:r w:rsidR="003B75F4">
        <w:fldChar w:fldCharType="separate"/>
      </w:r>
      <w:r w:rsidR="00244C7C" w:rsidRPr="002F5E89">
        <w:rPr>
          <w:rStyle w:val="Hipervnculo"/>
          <w:rFonts w:asciiTheme="majorHAnsi" w:hAnsiTheme="majorHAnsi" w:cstheme="majorHAnsi"/>
          <w:sz w:val="16"/>
          <w:szCs w:val="16"/>
          <w:lang w:val="en-US"/>
        </w:rPr>
        <w:t>drodrigosanchezn@gmail.com</w:t>
      </w:r>
      <w:r w:rsidR="003B75F4">
        <w:rPr>
          <w:rStyle w:val="Hipervnculo"/>
          <w:rFonts w:asciiTheme="majorHAnsi" w:hAnsiTheme="majorHAnsi" w:cstheme="majorHAnsi"/>
          <w:sz w:val="16"/>
          <w:szCs w:val="16"/>
          <w:lang w:val="en-US"/>
        </w:rPr>
        <w:fldChar w:fldCharType="end"/>
      </w:r>
      <w:r w:rsidR="00244C7C" w:rsidRPr="002F5E89">
        <w:rPr>
          <w:rFonts w:asciiTheme="majorHAnsi" w:hAnsiTheme="majorHAnsi" w:cstheme="majorHAnsi"/>
          <w:sz w:val="16"/>
          <w:szCs w:val="16"/>
          <w:lang w:val="en-US"/>
        </w:rPr>
        <w:t xml:space="preserve">. </w:t>
      </w:r>
      <w:proofErr w:type="spellStart"/>
      <w:r w:rsidRPr="002F5E89">
        <w:rPr>
          <w:rFonts w:asciiTheme="majorHAnsi" w:hAnsiTheme="majorHAnsi" w:cstheme="majorHAnsi"/>
          <w:sz w:val="16"/>
          <w:szCs w:val="16"/>
          <w:lang w:val="en-US"/>
        </w:rPr>
        <w:t>Documento</w:t>
      </w:r>
      <w:proofErr w:type="spellEnd"/>
      <w:r w:rsidRPr="002F5E89">
        <w:rPr>
          <w:rFonts w:asciiTheme="majorHAnsi" w:hAnsiTheme="majorHAnsi" w:cstheme="majorHAnsi"/>
          <w:sz w:val="16"/>
          <w:szCs w:val="16"/>
          <w:lang w:val="en-US"/>
        </w:rPr>
        <w:t xml:space="preserve"> </w:t>
      </w:r>
      <w:proofErr w:type="spellStart"/>
      <w:r w:rsidRPr="002F5E89">
        <w:rPr>
          <w:rFonts w:asciiTheme="majorHAnsi" w:hAnsiTheme="majorHAnsi" w:cstheme="majorHAnsi"/>
          <w:sz w:val="16"/>
          <w:szCs w:val="16"/>
          <w:lang w:val="en-US"/>
        </w:rPr>
        <w:t>basado</w:t>
      </w:r>
      <w:proofErr w:type="spellEnd"/>
      <w:r w:rsidRPr="002F5E89">
        <w:rPr>
          <w:rFonts w:asciiTheme="majorHAnsi" w:hAnsiTheme="majorHAnsi" w:cstheme="majorHAnsi"/>
          <w:sz w:val="16"/>
          <w:szCs w:val="16"/>
          <w:lang w:val="en-US"/>
        </w:rPr>
        <w:t xml:space="preserve"> </w:t>
      </w:r>
      <w:proofErr w:type="spellStart"/>
      <w:r w:rsidRPr="002F5E89">
        <w:rPr>
          <w:rFonts w:asciiTheme="majorHAnsi" w:hAnsiTheme="majorHAnsi" w:cstheme="majorHAnsi"/>
          <w:sz w:val="16"/>
          <w:szCs w:val="16"/>
          <w:lang w:val="en-US"/>
        </w:rPr>
        <w:t>en</w:t>
      </w:r>
      <w:proofErr w:type="spellEnd"/>
      <w:r w:rsidRPr="002F5E89">
        <w:rPr>
          <w:rFonts w:asciiTheme="majorHAnsi" w:hAnsiTheme="majorHAnsi" w:cstheme="majorHAnsi"/>
          <w:sz w:val="16"/>
          <w:szCs w:val="16"/>
          <w:lang w:val="en-US"/>
        </w:rPr>
        <w:t xml:space="preserve"> «Characteristics of Workers in Low Work-From-Home and High Personal-Proximity Occupations» (</w:t>
      </w:r>
      <w:proofErr w:type="spellStart"/>
      <w:r w:rsidRPr="002F5E89">
        <w:rPr>
          <w:rFonts w:asciiTheme="majorHAnsi" w:hAnsiTheme="majorHAnsi" w:cstheme="majorHAnsi"/>
          <w:sz w:val="16"/>
          <w:szCs w:val="16"/>
          <w:lang w:val="en-US"/>
        </w:rPr>
        <w:t>Mongey</w:t>
      </w:r>
      <w:proofErr w:type="spellEnd"/>
      <w:r w:rsidRPr="002F5E89">
        <w:rPr>
          <w:rFonts w:asciiTheme="majorHAnsi" w:hAnsiTheme="majorHAnsi" w:cstheme="majorHAnsi"/>
          <w:sz w:val="16"/>
          <w:szCs w:val="16"/>
          <w:lang w:val="en-US"/>
        </w:rPr>
        <w:t xml:space="preserve"> &amp; Weinberg, 2020). </w:t>
      </w:r>
      <w:r w:rsidRPr="002F5E89">
        <w:rPr>
          <w:rFonts w:asciiTheme="majorHAnsi" w:hAnsiTheme="majorHAnsi" w:cstheme="majorHAnsi"/>
          <w:sz w:val="16"/>
          <w:szCs w:val="16"/>
        </w:rPr>
        <w:t xml:space="preserve">Recuperado de </w:t>
      </w:r>
      <w:hyperlink r:id="rId1" w:history="1">
        <w:r w:rsidRPr="002F5E89">
          <w:rPr>
            <w:rStyle w:val="Hipervnculo"/>
            <w:rFonts w:asciiTheme="majorHAnsi" w:hAnsiTheme="majorHAnsi" w:cstheme="majorHAnsi"/>
            <w:sz w:val="16"/>
            <w:szCs w:val="16"/>
          </w:rPr>
          <w:t>https://bit.ly/2TcJUpf</w:t>
        </w:r>
      </w:hyperlink>
      <w:r w:rsidRPr="002F5E89">
        <w:rPr>
          <w:rFonts w:asciiTheme="majorHAnsi" w:hAnsiTheme="majorHAnsi" w:cstheme="majorHAnsi"/>
          <w:sz w:val="16"/>
          <w:szCs w:val="16"/>
        </w:rPr>
        <w:t>.</w:t>
      </w:r>
    </w:p>
  </w:footnote>
  <w:footnote w:id="2">
    <w:p w14:paraId="229008C7" w14:textId="77777777" w:rsidR="005F3FEF" w:rsidRPr="002F5E89" w:rsidRDefault="005F3FEF" w:rsidP="005F3FEF">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Red de Información Ocupacional (</w:t>
      </w:r>
      <w:proofErr w:type="spellStart"/>
      <w:r w:rsidRPr="002F5E89">
        <w:rPr>
          <w:rFonts w:asciiTheme="majorHAnsi" w:hAnsiTheme="majorHAnsi" w:cstheme="majorHAnsi"/>
          <w:sz w:val="16"/>
          <w:szCs w:val="16"/>
        </w:rPr>
        <w:t>Occupational</w:t>
      </w:r>
      <w:proofErr w:type="spellEnd"/>
      <w:r w:rsidRPr="002F5E89">
        <w:rPr>
          <w:rFonts w:asciiTheme="majorHAnsi" w:hAnsiTheme="majorHAnsi" w:cstheme="majorHAnsi"/>
          <w:sz w:val="16"/>
          <w:szCs w:val="16"/>
        </w:rPr>
        <w:t xml:space="preserve"> </w:t>
      </w:r>
      <w:proofErr w:type="spellStart"/>
      <w:r w:rsidRPr="002F5E89">
        <w:rPr>
          <w:rFonts w:asciiTheme="majorHAnsi" w:hAnsiTheme="majorHAnsi" w:cstheme="majorHAnsi"/>
          <w:sz w:val="16"/>
          <w:szCs w:val="16"/>
        </w:rPr>
        <w:t>Information</w:t>
      </w:r>
      <w:proofErr w:type="spellEnd"/>
      <w:r w:rsidRPr="002F5E89">
        <w:rPr>
          <w:rFonts w:asciiTheme="majorHAnsi" w:hAnsiTheme="majorHAnsi" w:cstheme="majorHAnsi"/>
          <w:sz w:val="16"/>
          <w:szCs w:val="16"/>
        </w:rPr>
        <w:t xml:space="preserve"> Network, O*NET). Revisar </w:t>
      </w:r>
      <w:hyperlink r:id="rId2" w:history="1">
        <w:r w:rsidRPr="002F5E89">
          <w:rPr>
            <w:rStyle w:val="Hipervnculo"/>
            <w:rFonts w:asciiTheme="majorHAnsi" w:hAnsiTheme="majorHAnsi" w:cstheme="majorHAnsi"/>
            <w:sz w:val="16"/>
            <w:szCs w:val="16"/>
          </w:rPr>
          <w:t>https://bit.ly/364ckXy</w:t>
        </w:r>
      </w:hyperlink>
      <w:r w:rsidRPr="002F5E89">
        <w:rPr>
          <w:rFonts w:asciiTheme="majorHAnsi" w:hAnsiTheme="majorHAnsi" w:cstheme="majorHAnsi"/>
          <w:sz w:val="16"/>
          <w:szCs w:val="16"/>
        </w:rPr>
        <w:t>.</w:t>
      </w:r>
    </w:p>
  </w:footnote>
  <w:footnote w:id="3">
    <w:p w14:paraId="75A40FEA" w14:textId="77777777" w:rsidR="00E24A4D" w:rsidRPr="002F5E89" w:rsidRDefault="00E24A4D" w:rsidP="00E24A4D">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Revisar </w:t>
      </w:r>
      <w:hyperlink r:id="rId3" w:history="1">
        <w:r w:rsidRPr="002F5E89">
          <w:rPr>
            <w:rStyle w:val="Hipervnculo"/>
            <w:rFonts w:asciiTheme="majorHAnsi" w:hAnsiTheme="majorHAnsi" w:cstheme="majorHAnsi"/>
            <w:sz w:val="16"/>
            <w:szCs w:val="16"/>
          </w:rPr>
          <w:t>https://bit.ly/2LyvvQ7</w:t>
        </w:r>
      </w:hyperlink>
      <w:r w:rsidRPr="002F5E89">
        <w:rPr>
          <w:rFonts w:asciiTheme="majorHAnsi" w:hAnsiTheme="majorHAnsi" w:cstheme="majorHAnsi"/>
          <w:sz w:val="16"/>
          <w:szCs w:val="16"/>
        </w:rPr>
        <w:t>.</w:t>
      </w:r>
    </w:p>
  </w:footnote>
  <w:footnote w:id="4">
    <w:p w14:paraId="5C25747D" w14:textId="77777777" w:rsidR="00AF3876" w:rsidRPr="002F5E89" w:rsidRDefault="00AF3876" w:rsidP="00AF3876">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Sistema de Clasificación Ocupacional Estándar (Standard </w:t>
      </w:r>
      <w:proofErr w:type="spellStart"/>
      <w:r w:rsidRPr="002F5E89">
        <w:rPr>
          <w:rFonts w:asciiTheme="majorHAnsi" w:hAnsiTheme="majorHAnsi" w:cstheme="majorHAnsi"/>
          <w:sz w:val="16"/>
          <w:szCs w:val="16"/>
        </w:rPr>
        <w:t>Occupational</w:t>
      </w:r>
      <w:proofErr w:type="spellEnd"/>
      <w:r w:rsidRPr="002F5E89">
        <w:rPr>
          <w:rFonts w:asciiTheme="majorHAnsi" w:hAnsiTheme="majorHAnsi" w:cstheme="majorHAnsi"/>
          <w:sz w:val="16"/>
          <w:szCs w:val="16"/>
        </w:rPr>
        <w:t xml:space="preserve"> </w:t>
      </w:r>
      <w:proofErr w:type="spellStart"/>
      <w:r w:rsidRPr="002F5E89">
        <w:rPr>
          <w:rFonts w:asciiTheme="majorHAnsi" w:hAnsiTheme="majorHAnsi" w:cstheme="majorHAnsi"/>
          <w:sz w:val="16"/>
          <w:szCs w:val="16"/>
        </w:rPr>
        <w:t>Classification</w:t>
      </w:r>
      <w:proofErr w:type="spellEnd"/>
      <w:r w:rsidRPr="002F5E89">
        <w:rPr>
          <w:rFonts w:asciiTheme="majorHAnsi" w:hAnsiTheme="majorHAnsi" w:cstheme="majorHAnsi"/>
          <w:sz w:val="16"/>
          <w:szCs w:val="16"/>
        </w:rPr>
        <w:t xml:space="preserve"> </w:t>
      </w:r>
      <w:proofErr w:type="spellStart"/>
      <w:r w:rsidRPr="002F5E89">
        <w:rPr>
          <w:rFonts w:asciiTheme="majorHAnsi" w:hAnsiTheme="majorHAnsi" w:cstheme="majorHAnsi"/>
          <w:sz w:val="16"/>
          <w:szCs w:val="16"/>
        </w:rPr>
        <w:t>System</w:t>
      </w:r>
      <w:proofErr w:type="spellEnd"/>
      <w:r w:rsidRPr="002F5E89">
        <w:rPr>
          <w:rFonts w:asciiTheme="majorHAnsi" w:hAnsiTheme="majorHAnsi" w:cstheme="majorHAnsi"/>
          <w:sz w:val="16"/>
          <w:szCs w:val="16"/>
        </w:rPr>
        <w:t xml:space="preserve">, SOC). Revisar </w:t>
      </w:r>
      <w:hyperlink r:id="rId4" w:history="1">
        <w:r w:rsidRPr="002F5E89">
          <w:rPr>
            <w:rStyle w:val="Hipervnculo"/>
            <w:rFonts w:asciiTheme="majorHAnsi" w:hAnsiTheme="majorHAnsi" w:cstheme="majorHAnsi"/>
            <w:sz w:val="16"/>
            <w:szCs w:val="16"/>
          </w:rPr>
          <w:t>https://bit.ly/3fV2v2G</w:t>
        </w:r>
      </w:hyperlink>
      <w:r w:rsidRPr="002F5E89">
        <w:rPr>
          <w:rFonts w:asciiTheme="majorHAnsi" w:hAnsiTheme="majorHAnsi" w:cstheme="majorHAnsi"/>
          <w:sz w:val="16"/>
          <w:szCs w:val="16"/>
        </w:rPr>
        <w:t>.</w:t>
      </w:r>
    </w:p>
  </w:footnote>
  <w:footnote w:id="5">
    <w:p w14:paraId="544BABAE" w14:textId="66F860EB" w:rsidR="00E542C4" w:rsidRPr="002F5E89" w:rsidRDefault="00E542C4" w:rsidP="003B0918">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Revisar </w:t>
      </w:r>
      <w:hyperlink r:id="rId5" w:history="1">
        <w:r w:rsidRPr="002F5E89">
          <w:rPr>
            <w:rStyle w:val="Hipervnculo"/>
            <w:rFonts w:asciiTheme="majorHAnsi" w:hAnsiTheme="majorHAnsi" w:cstheme="majorHAnsi"/>
            <w:sz w:val="16"/>
            <w:szCs w:val="16"/>
          </w:rPr>
          <w:t>https://bit.ly/2WDoWSE</w:t>
        </w:r>
      </w:hyperlink>
      <w:r w:rsidR="003E104B" w:rsidRPr="002F5E89">
        <w:rPr>
          <w:rFonts w:asciiTheme="majorHAnsi" w:hAnsiTheme="majorHAnsi" w:cstheme="majorHAnsi"/>
          <w:sz w:val="16"/>
          <w:szCs w:val="16"/>
        </w:rPr>
        <w:t xml:space="preserve">, </w:t>
      </w:r>
      <w:r w:rsidRPr="002F5E89">
        <w:rPr>
          <w:rFonts w:asciiTheme="majorHAnsi" w:hAnsiTheme="majorHAnsi" w:cstheme="majorHAnsi"/>
          <w:sz w:val="16"/>
          <w:szCs w:val="16"/>
        </w:rPr>
        <w:t xml:space="preserve">clasificación SOC 2010 para EE. UU. Para el caso del Perú, tenemos el Clasificador Nacional de Ocupaciones del año 2015 (CNO 2015); revisar, </w:t>
      </w:r>
      <w:hyperlink r:id="rId6" w:history="1">
        <w:r w:rsidRPr="002F5E89">
          <w:rPr>
            <w:rStyle w:val="Hipervnculo"/>
            <w:rFonts w:asciiTheme="majorHAnsi" w:hAnsiTheme="majorHAnsi" w:cstheme="majorHAnsi"/>
            <w:sz w:val="16"/>
            <w:szCs w:val="16"/>
          </w:rPr>
          <w:t>https://bit.ly/3cFLmbc</w:t>
        </w:r>
      </w:hyperlink>
      <w:r w:rsidRPr="002F5E89">
        <w:rPr>
          <w:rFonts w:asciiTheme="majorHAnsi" w:hAnsiTheme="majorHAnsi" w:cstheme="majorHAnsi"/>
          <w:sz w:val="16"/>
          <w:szCs w:val="16"/>
        </w:rPr>
        <w:t>.</w:t>
      </w:r>
    </w:p>
  </w:footnote>
  <w:footnote w:id="6">
    <w:p w14:paraId="262FBEE2" w14:textId="344734A5" w:rsidR="00E542C4" w:rsidRPr="002F5E89" w:rsidRDefault="00E542C4" w:rsidP="003B0918">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«La Clasificación Internacional Uniforme de Ocupaciones (International Standard </w:t>
      </w:r>
      <w:proofErr w:type="spellStart"/>
      <w:r w:rsidRPr="002F5E89">
        <w:rPr>
          <w:rFonts w:asciiTheme="majorHAnsi" w:hAnsiTheme="majorHAnsi" w:cstheme="majorHAnsi"/>
          <w:sz w:val="16"/>
          <w:szCs w:val="16"/>
        </w:rPr>
        <w:t>Classification</w:t>
      </w:r>
      <w:proofErr w:type="spellEnd"/>
      <w:r w:rsidRPr="002F5E89">
        <w:rPr>
          <w:rFonts w:asciiTheme="majorHAnsi" w:hAnsiTheme="majorHAnsi" w:cstheme="majorHAnsi"/>
          <w:sz w:val="16"/>
          <w:szCs w:val="16"/>
        </w:rPr>
        <w:t xml:space="preserve"> of </w:t>
      </w:r>
      <w:proofErr w:type="spellStart"/>
      <w:r w:rsidRPr="002F5E89">
        <w:rPr>
          <w:rFonts w:asciiTheme="majorHAnsi" w:hAnsiTheme="majorHAnsi" w:cstheme="majorHAnsi"/>
          <w:sz w:val="16"/>
          <w:szCs w:val="16"/>
        </w:rPr>
        <w:t>Occupations</w:t>
      </w:r>
      <w:proofErr w:type="spellEnd"/>
      <w:r w:rsidRPr="002F5E89">
        <w:rPr>
          <w:rFonts w:asciiTheme="majorHAnsi" w:hAnsiTheme="majorHAnsi" w:cstheme="majorHAnsi"/>
          <w:sz w:val="16"/>
          <w:szCs w:val="16"/>
        </w:rPr>
        <w:t xml:space="preserve">, ISCO) es una de las principales clasificaciones internacionales de las que es responsable la OIT. Es una herramienta para organizar trabajos en un conjunto de grupos claramente definido de acuerdo con las tareas y deberes que se realizan en ellos» (traducido al español de </w:t>
      </w:r>
      <w:hyperlink r:id="rId7" w:history="1">
        <w:r w:rsidRPr="002F5E89">
          <w:rPr>
            <w:rStyle w:val="Hipervnculo"/>
            <w:rFonts w:asciiTheme="majorHAnsi" w:hAnsiTheme="majorHAnsi" w:cstheme="majorHAnsi"/>
            <w:sz w:val="16"/>
            <w:szCs w:val="16"/>
          </w:rPr>
          <w:t>https://bit.ly/3cDafVf</w:t>
        </w:r>
      </w:hyperlink>
      <w:r w:rsidRPr="002F5E89">
        <w:rPr>
          <w:rFonts w:asciiTheme="majorHAnsi" w:hAnsiTheme="majorHAnsi" w:cstheme="majorHAnsi"/>
          <w:sz w:val="16"/>
          <w:szCs w:val="16"/>
        </w:rPr>
        <w:t>).</w:t>
      </w:r>
    </w:p>
  </w:footnote>
  <w:footnote w:id="7">
    <w:p w14:paraId="7EF6A3FF" w14:textId="49F543D2" w:rsidR="00E542C4" w:rsidRPr="002F5E89" w:rsidRDefault="00E542C4" w:rsidP="00580AA6">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Revisar </w:t>
      </w:r>
      <w:hyperlink r:id="rId8" w:history="1">
        <w:r w:rsidRPr="002F5E89">
          <w:rPr>
            <w:rStyle w:val="Hipervnculo"/>
            <w:rFonts w:asciiTheme="majorHAnsi" w:hAnsiTheme="majorHAnsi" w:cstheme="majorHAnsi"/>
            <w:sz w:val="16"/>
            <w:szCs w:val="16"/>
          </w:rPr>
          <w:t>https://bit.ly/2y5TSRQ</w:t>
        </w:r>
      </w:hyperlink>
      <w:r w:rsidRPr="002F5E89">
        <w:rPr>
          <w:rFonts w:asciiTheme="majorHAnsi" w:hAnsiTheme="majorHAnsi" w:cstheme="majorHAnsi"/>
          <w:sz w:val="16"/>
          <w:szCs w:val="16"/>
        </w:rPr>
        <w:t xml:space="preserve"> (correspondencia entre CNO 2015 y ISCO 08), y </w:t>
      </w:r>
      <w:hyperlink r:id="rId9" w:history="1">
        <w:r w:rsidRPr="002F5E89">
          <w:rPr>
            <w:rStyle w:val="Hipervnculo"/>
            <w:rFonts w:asciiTheme="majorHAnsi" w:hAnsiTheme="majorHAnsi" w:cstheme="majorHAnsi"/>
            <w:sz w:val="16"/>
            <w:szCs w:val="16"/>
          </w:rPr>
          <w:t>https://bit.ly/2WDBuJK</w:t>
        </w:r>
      </w:hyperlink>
      <w:r w:rsidRPr="002F5E89">
        <w:rPr>
          <w:rFonts w:asciiTheme="majorHAnsi" w:hAnsiTheme="majorHAnsi" w:cstheme="majorHAnsi"/>
          <w:sz w:val="16"/>
          <w:szCs w:val="16"/>
        </w:rPr>
        <w:t xml:space="preserve"> (correspondencia entre SOC 2010 y ISCO 08).</w:t>
      </w:r>
    </w:p>
  </w:footnote>
  <w:footnote w:id="8">
    <w:p w14:paraId="073FC3C2" w14:textId="6C5795AE" w:rsidR="00E542C4" w:rsidRPr="002F5E89" w:rsidRDefault="00E542C4" w:rsidP="00580AA6">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Detalle de escala en </w:t>
      </w:r>
      <w:hyperlink r:id="rId10" w:history="1">
        <w:r w:rsidRPr="002F5E89">
          <w:rPr>
            <w:rStyle w:val="Hipervnculo"/>
            <w:rFonts w:asciiTheme="majorHAnsi" w:hAnsiTheme="majorHAnsi" w:cstheme="majorHAnsi"/>
            <w:sz w:val="16"/>
            <w:szCs w:val="16"/>
          </w:rPr>
          <w:t>https://bit.ly/2LyvvQ7</w:t>
        </w:r>
      </w:hyperlink>
      <w:r w:rsidRPr="002F5E89">
        <w:rPr>
          <w:rFonts w:asciiTheme="majorHAnsi" w:hAnsiTheme="majorHAnsi" w:cstheme="majorHAnsi"/>
          <w:sz w:val="16"/>
          <w:szCs w:val="16"/>
        </w:rPr>
        <w:t>:  «No trabajo cerca de otras personas (más de 100 pies)», de 0 a 20; «Trabajo con otros, pero no cerca (por ejemplo, en oficina privada)», de 21 a 40; «Ligeramente cerca (v. gr., en oficina compartida)», de 41 a 60; «Moderadamente cerca (a la distancia del brazo extendido)», de 61 a 80; «Muy cerca (casi tocándose)», de 81 a 100.</w:t>
      </w:r>
    </w:p>
  </w:footnote>
  <w:footnote w:id="9">
    <w:p w14:paraId="378E0565" w14:textId="71DFA5EE" w:rsidR="00E77A7F" w:rsidRPr="002F5E89" w:rsidRDefault="00E77A7F" w:rsidP="00284F6A">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w:t>
      </w:r>
      <w:r w:rsidR="00CF2731" w:rsidRPr="002F5E89">
        <w:rPr>
          <w:rFonts w:asciiTheme="majorHAnsi" w:hAnsiTheme="majorHAnsi" w:cstheme="majorHAnsi"/>
          <w:sz w:val="16"/>
          <w:szCs w:val="16"/>
        </w:rPr>
        <w:t>Quizá u</w:t>
      </w:r>
      <w:r w:rsidRPr="002F5E89">
        <w:rPr>
          <w:rFonts w:asciiTheme="majorHAnsi" w:hAnsiTheme="majorHAnsi" w:cstheme="majorHAnsi"/>
          <w:sz w:val="16"/>
          <w:szCs w:val="16"/>
        </w:rPr>
        <w:t xml:space="preserve">no de los problemas </w:t>
      </w:r>
      <w:r w:rsidR="00876B5B" w:rsidRPr="002F5E89">
        <w:rPr>
          <w:rFonts w:asciiTheme="majorHAnsi" w:hAnsiTheme="majorHAnsi" w:cstheme="majorHAnsi"/>
          <w:sz w:val="16"/>
          <w:szCs w:val="16"/>
        </w:rPr>
        <w:t xml:space="preserve">de la humanidad </w:t>
      </w:r>
      <w:r w:rsidRPr="002F5E89">
        <w:rPr>
          <w:rFonts w:asciiTheme="majorHAnsi" w:hAnsiTheme="majorHAnsi" w:cstheme="majorHAnsi"/>
          <w:sz w:val="16"/>
          <w:szCs w:val="16"/>
        </w:rPr>
        <w:t xml:space="preserve">hoy en día, a diferencia de siglos pasados, no solo es la falta de información; sino que existe </w:t>
      </w:r>
      <w:r w:rsidR="00876B5B" w:rsidRPr="002F5E89">
        <w:rPr>
          <w:rFonts w:asciiTheme="majorHAnsi" w:hAnsiTheme="majorHAnsi" w:cstheme="majorHAnsi"/>
          <w:sz w:val="16"/>
          <w:szCs w:val="16"/>
        </w:rPr>
        <w:t>demasiada</w:t>
      </w:r>
      <w:r w:rsidRPr="002F5E89">
        <w:rPr>
          <w:rFonts w:asciiTheme="majorHAnsi" w:hAnsiTheme="majorHAnsi" w:cstheme="majorHAnsi"/>
          <w:sz w:val="16"/>
          <w:szCs w:val="16"/>
        </w:rPr>
        <w:t xml:space="preserve"> información. Alguna “buena”, oficial, académica proveniente de expertos; y </w:t>
      </w:r>
      <w:r w:rsidR="00876B5B" w:rsidRPr="002F5E89">
        <w:rPr>
          <w:rFonts w:asciiTheme="majorHAnsi" w:hAnsiTheme="majorHAnsi" w:cstheme="majorHAnsi"/>
          <w:sz w:val="16"/>
          <w:szCs w:val="16"/>
        </w:rPr>
        <w:t>mucha</w:t>
      </w:r>
      <w:r w:rsidRPr="002F5E89">
        <w:rPr>
          <w:rFonts w:asciiTheme="majorHAnsi" w:hAnsiTheme="majorHAnsi" w:cstheme="majorHAnsi"/>
          <w:sz w:val="16"/>
          <w:szCs w:val="16"/>
        </w:rPr>
        <w:t xml:space="preserve"> “mala”, la cual </w:t>
      </w:r>
      <w:r w:rsidR="00CF2731" w:rsidRPr="002F5E89">
        <w:rPr>
          <w:rFonts w:asciiTheme="majorHAnsi" w:hAnsiTheme="majorHAnsi" w:cstheme="majorHAnsi"/>
          <w:sz w:val="16"/>
          <w:szCs w:val="16"/>
        </w:rPr>
        <w:t xml:space="preserve">contradice </w:t>
      </w:r>
      <w:r w:rsidRPr="002F5E89">
        <w:rPr>
          <w:rFonts w:asciiTheme="majorHAnsi" w:hAnsiTheme="majorHAnsi" w:cstheme="majorHAnsi"/>
          <w:sz w:val="16"/>
          <w:szCs w:val="16"/>
        </w:rPr>
        <w:t>la anterior</w:t>
      </w:r>
      <w:r w:rsidR="00CF2731" w:rsidRPr="002F5E89">
        <w:rPr>
          <w:rFonts w:asciiTheme="majorHAnsi" w:hAnsiTheme="majorHAnsi" w:cstheme="majorHAnsi"/>
          <w:sz w:val="16"/>
          <w:szCs w:val="16"/>
        </w:rPr>
        <w:t>, no necesariamente con el fin de enriquecer algún debate</w:t>
      </w:r>
      <w:r w:rsidR="008D0A2F">
        <w:rPr>
          <w:rFonts w:asciiTheme="majorHAnsi" w:hAnsiTheme="majorHAnsi" w:cstheme="majorHAnsi"/>
          <w:sz w:val="16"/>
          <w:szCs w:val="16"/>
        </w:rPr>
        <w:t>.</w:t>
      </w:r>
    </w:p>
  </w:footnote>
  <w:footnote w:id="10">
    <w:p w14:paraId="24504928" w14:textId="6C68878C" w:rsidR="00B5535D" w:rsidRPr="002F5E89" w:rsidRDefault="00B5535D" w:rsidP="00284F6A">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009924B3" w:rsidRPr="002F5E89">
        <w:rPr>
          <w:rFonts w:asciiTheme="majorHAnsi" w:hAnsiTheme="majorHAnsi" w:cstheme="majorHAnsi"/>
          <w:sz w:val="16"/>
          <w:szCs w:val="16"/>
          <w:lang w:val="en-US"/>
        </w:rPr>
        <w:t xml:space="preserve"> «Coronavirus: The Hammer and the Dance» (</w:t>
      </w:r>
      <w:proofErr w:type="spellStart"/>
      <w:r w:rsidR="009924B3" w:rsidRPr="002F5E89">
        <w:rPr>
          <w:rFonts w:asciiTheme="majorHAnsi" w:hAnsiTheme="majorHAnsi" w:cstheme="majorHAnsi"/>
          <w:sz w:val="16"/>
          <w:szCs w:val="16"/>
          <w:lang w:val="en-US"/>
        </w:rPr>
        <w:t>Pueyo</w:t>
      </w:r>
      <w:proofErr w:type="spellEnd"/>
      <w:r w:rsidR="009924B3" w:rsidRPr="002F5E89">
        <w:rPr>
          <w:rFonts w:asciiTheme="majorHAnsi" w:hAnsiTheme="majorHAnsi" w:cstheme="majorHAnsi"/>
          <w:sz w:val="16"/>
          <w:szCs w:val="16"/>
          <w:lang w:val="en-US"/>
        </w:rPr>
        <w:t xml:space="preserve">, 2020). </w:t>
      </w:r>
      <w:r w:rsidR="009924B3" w:rsidRPr="002F5E89">
        <w:rPr>
          <w:rFonts w:asciiTheme="majorHAnsi" w:hAnsiTheme="majorHAnsi" w:cstheme="majorHAnsi"/>
          <w:sz w:val="16"/>
          <w:szCs w:val="16"/>
        </w:rPr>
        <w:t xml:space="preserve">Recuperado de </w:t>
      </w:r>
      <w:hyperlink r:id="rId11" w:history="1">
        <w:r w:rsidRPr="002F5E89">
          <w:rPr>
            <w:rStyle w:val="Hipervnculo"/>
            <w:rFonts w:asciiTheme="majorHAnsi" w:hAnsiTheme="majorHAnsi" w:cstheme="majorHAnsi"/>
            <w:sz w:val="16"/>
            <w:szCs w:val="16"/>
          </w:rPr>
          <w:t>https://bit.ly/367PpLh</w:t>
        </w:r>
      </w:hyperlink>
      <w:r w:rsidRPr="002F5E89">
        <w:rPr>
          <w:rFonts w:asciiTheme="majorHAnsi" w:hAnsiTheme="majorHAnsi" w:cstheme="majorHAnsi"/>
          <w:sz w:val="16"/>
          <w:szCs w:val="16"/>
        </w:rPr>
        <w:t>.</w:t>
      </w:r>
    </w:p>
  </w:footnote>
  <w:footnote w:id="11">
    <w:p w14:paraId="7F0BFE1C" w14:textId="77777777" w:rsidR="00824199" w:rsidRPr="002F5E89" w:rsidRDefault="00824199" w:rsidP="00284F6A">
      <w:pPr>
        <w:pStyle w:val="Textonotapie"/>
        <w:jc w:val="both"/>
        <w:rPr>
          <w:rFonts w:asciiTheme="majorHAnsi" w:hAnsiTheme="majorHAnsi" w:cstheme="majorHAnsi"/>
          <w:sz w:val="16"/>
          <w:szCs w:val="16"/>
        </w:rPr>
      </w:pPr>
      <w:r w:rsidRPr="002F5E89">
        <w:rPr>
          <w:rStyle w:val="Refdenotaalpie"/>
          <w:rFonts w:asciiTheme="majorHAnsi" w:hAnsiTheme="majorHAnsi" w:cstheme="majorHAnsi"/>
          <w:sz w:val="16"/>
          <w:szCs w:val="16"/>
        </w:rPr>
        <w:footnoteRef/>
      </w:r>
      <w:r w:rsidRPr="002F5E89">
        <w:rPr>
          <w:rFonts w:asciiTheme="majorHAnsi" w:hAnsiTheme="majorHAnsi" w:cstheme="majorHAnsi"/>
          <w:sz w:val="16"/>
          <w:szCs w:val="16"/>
        </w:rPr>
        <w:t xml:space="preserve"> De acuerdo con la información de la ENAHO 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E8"/>
    <w:rsid w:val="00001486"/>
    <w:rsid w:val="00001509"/>
    <w:rsid w:val="00004EAC"/>
    <w:rsid w:val="000117B2"/>
    <w:rsid w:val="00026D9E"/>
    <w:rsid w:val="000305E4"/>
    <w:rsid w:val="000417DC"/>
    <w:rsid w:val="00045AF5"/>
    <w:rsid w:val="000570AF"/>
    <w:rsid w:val="00057C3C"/>
    <w:rsid w:val="000652D9"/>
    <w:rsid w:val="0006601D"/>
    <w:rsid w:val="00066ABC"/>
    <w:rsid w:val="00066CD2"/>
    <w:rsid w:val="00082915"/>
    <w:rsid w:val="000831A5"/>
    <w:rsid w:val="000A2EC5"/>
    <w:rsid w:val="000A45B7"/>
    <w:rsid w:val="000A7C10"/>
    <w:rsid w:val="000A7C79"/>
    <w:rsid w:val="000C0656"/>
    <w:rsid w:val="000C66AA"/>
    <w:rsid w:val="000C7FF3"/>
    <w:rsid w:val="000D2C0D"/>
    <w:rsid w:val="000D3257"/>
    <w:rsid w:val="000F3097"/>
    <w:rsid w:val="000F4B6E"/>
    <w:rsid w:val="000F7587"/>
    <w:rsid w:val="001014F1"/>
    <w:rsid w:val="00101879"/>
    <w:rsid w:val="00113FD8"/>
    <w:rsid w:val="001148AB"/>
    <w:rsid w:val="00115719"/>
    <w:rsid w:val="00116533"/>
    <w:rsid w:val="00116A6E"/>
    <w:rsid w:val="00123BD5"/>
    <w:rsid w:val="00125D27"/>
    <w:rsid w:val="001341CD"/>
    <w:rsid w:val="00146F76"/>
    <w:rsid w:val="00156044"/>
    <w:rsid w:val="00163D35"/>
    <w:rsid w:val="00164752"/>
    <w:rsid w:val="00165249"/>
    <w:rsid w:val="001760D5"/>
    <w:rsid w:val="0018115E"/>
    <w:rsid w:val="00184E44"/>
    <w:rsid w:val="00186A00"/>
    <w:rsid w:val="00191442"/>
    <w:rsid w:val="00196F5D"/>
    <w:rsid w:val="001C4978"/>
    <w:rsid w:val="001C54BB"/>
    <w:rsid w:val="001D6203"/>
    <w:rsid w:val="001E65C4"/>
    <w:rsid w:val="001E7F28"/>
    <w:rsid w:val="001F2FB7"/>
    <w:rsid w:val="00202015"/>
    <w:rsid w:val="0020640A"/>
    <w:rsid w:val="00210179"/>
    <w:rsid w:val="002144C8"/>
    <w:rsid w:val="00214CA9"/>
    <w:rsid w:val="00223FE8"/>
    <w:rsid w:val="00230773"/>
    <w:rsid w:val="002341E0"/>
    <w:rsid w:val="00241DD7"/>
    <w:rsid w:val="0024245E"/>
    <w:rsid w:val="0024489B"/>
    <w:rsid w:val="00244C7C"/>
    <w:rsid w:val="002452E8"/>
    <w:rsid w:val="002479F9"/>
    <w:rsid w:val="00251D8D"/>
    <w:rsid w:val="00253651"/>
    <w:rsid w:val="00256712"/>
    <w:rsid w:val="00263C30"/>
    <w:rsid w:val="00266FC1"/>
    <w:rsid w:val="002718FA"/>
    <w:rsid w:val="002758B8"/>
    <w:rsid w:val="00280799"/>
    <w:rsid w:val="00282C81"/>
    <w:rsid w:val="00284F6A"/>
    <w:rsid w:val="00285B69"/>
    <w:rsid w:val="00295899"/>
    <w:rsid w:val="00296A63"/>
    <w:rsid w:val="00297FA8"/>
    <w:rsid w:val="002A00F2"/>
    <w:rsid w:val="002A246C"/>
    <w:rsid w:val="002A4879"/>
    <w:rsid w:val="002C0760"/>
    <w:rsid w:val="002D5A2B"/>
    <w:rsid w:val="002E0732"/>
    <w:rsid w:val="002E1155"/>
    <w:rsid w:val="002E15A5"/>
    <w:rsid w:val="002F39CB"/>
    <w:rsid w:val="002F3FFA"/>
    <w:rsid w:val="002F5E89"/>
    <w:rsid w:val="002F5F23"/>
    <w:rsid w:val="002F764A"/>
    <w:rsid w:val="003164A6"/>
    <w:rsid w:val="00325C2C"/>
    <w:rsid w:val="00330748"/>
    <w:rsid w:val="0033175A"/>
    <w:rsid w:val="00340A09"/>
    <w:rsid w:val="00342940"/>
    <w:rsid w:val="00350777"/>
    <w:rsid w:val="003521D5"/>
    <w:rsid w:val="003529AE"/>
    <w:rsid w:val="00355BE1"/>
    <w:rsid w:val="00356848"/>
    <w:rsid w:val="00371AA0"/>
    <w:rsid w:val="00375473"/>
    <w:rsid w:val="00375EF6"/>
    <w:rsid w:val="00377C86"/>
    <w:rsid w:val="00377F73"/>
    <w:rsid w:val="003805E4"/>
    <w:rsid w:val="003A125D"/>
    <w:rsid w:val="003A4264"/>
    <w:rsid w:val="003B0918"/>
    <w:rsid w:val="003B242C"/>
    <w:rsid w:val="003B3A80"/>
    <w:rsid w:val="003B7009"/>
    <w:rsid w:val="003B75C4"/>
    <w:rsid w:val="003B75F4"/>
    <w:rsid w:val="003C4997"/>
    <w:rsid w:val="003C52A0"/>
    <w:rsid w:val="003D4A6D"/>
    <w:rsid w:val="003D6A9C"/>
    <w:rsid w:val="003E104B"/>
    <w:rsid w:val="003F0AE1"/>
    <w:rsid w:val="003F3DDE"/>
    <w:rsid w:val="003F5FF8"/>
    <w:rsid w:val="003F60F9"/>
    <w:rsid w:val="00402ACE"/>
    <w:rsid w:val="0040351A"/>
    <w:rsid w:val="00424974"/>
    <w:rsid w:val="00430C19"/>
    <w:rsid w:val="00431B04"/>
    <w:rsid w:val="00440ECF"/>
    <w:rsid w:val="00443DF4"/>
    <w:rsid w:val="00446E48"/>
    <w:rsid w:val="004536D9"/>
    <w:rsid w:val="00454656"/>
    <w:rsid w:val="00460592"/>
    <w:rsid w:val="004620A4"/>
    <w:rsid w:val="00467546"/>
    <w:rsid w:val="004702A8"/>
    <w:rsid w:val="00470C63"/>
    <w:rsid w:val="00470D34"/>
    <w:rsid w:val="004726BA"/>
    <w:rsid w:val="00475B34"/>
    <w:rsid w:val="004777F6"/>
    <w:rsid w:val="004809AA"/>
    <w:rsid w:val="00480C56"/>
    <w:rsid w:val="00491011"/>
    <w:rsid w:val="00494AD1"/>
    <w:rsid w:val="004A2CCA"/>
    <w:rsid w:val="004A3C48"/>
    <w:rsid w:val="004A511A"/>
    <w:rsid w:val="004B5EDF"/>
    <w:rsid w:val="004C0F62"/>
    <w:rsid w:val="004C2B1C"/>
    <w:rsid w:val="004C4B63"/>
    <w:rsid w:val="004C5BCF"/>
    <w:rsid w:val="004E61CD"/>
    <w:rsid w:val="004F1E4C"/>
    <w:rsid w:val="004F7A31"/>
    <w:rsid w:val="005019EB"/>
    <w:rsid w:val="00510DC6"/>
    <w:rsid w:val="00512BDE"/>
    <w:rsid w:val="00515D4B"/>
    <w:rsid w:val="00516E7F"/>
    <w:rsid w:val="0051711D"/>
    <w:rsid w:val="0052397C"/>
    <w:rsid w:val="00523B28"/>
    <w:rsid w:val="005248E5"/>
    <w:rsid w:val="00535805"/>
    <w:rsid w:val="00552401"/>
    <w:rsid w:val="005552CE"/>
    <w:rsid w:val="00555FF6"/>
    <w:rsid w:val="00561275"/>
    <w:rsid w:val="005639E5"/>
    <w:rsid w:val="00571710"/>
    <w:rsid w:val="00575195"/>
    <w:rsid w:val="0058045C"/>
    <w:rsid w:val="00580AA6"/>
    <w:rsid w:val="00581239"/>
    <w:rsid w:val="005A1CB3"/>
    <w:rsid w:val="005A2F30"/>
    <w:rsid w:val="005A69CC"/>
    <w:rsid w:val="005B1DB3"/>
    <w:rsid w:val="005B35FA"/>
    <w:rsid w:val="005B69B0"/>
    <w:rsid w:val="005B7B25"/>
    <w:rsid w:val="005C0608"/>
    <w:rsid w:val="005C1167"/>
    <w:rsid w:val="005C5C7C"/>
    <w:rsid w:val="005D1D98"/>
    <w:rsid w:val="005D65FF"/>
    <w:rsid w:val="005E0ACF"/>
    <w:rsid w:val="005E1561"/>
    <w:rsid w:val="005E3353"/>
    <w:rsid w:val="005E7ECF"/>
    <w:rsid w:val="005F3FEF"/>
    <w:rsid w:val="005F7578"/>
    <w:rsid w:val="005F7BD6"/>
    <w:rsid w:val="005F7DA0"/>
    <w:rsid w:val="006010F7"/>
    <w:rsid w:val="00603F09"/>
    <w:rsid w:val="0060523D"/>
    <w:rsid w:val="0060556B"/>
    <w:rsid w:val="006068E1"/>
    <w:rsid w:val="006115A9"/>
    <w:rsid w:val="00611820"/>
    <w:rsid w:val="00611E5F"/>
    <w:rsid w:val="00611E99"/>
    <w:rsid w:val="006124E5"/>
    <w:rsid w:val="00613F4C"/>
    <w:rsid w:val="0061410E"/>
    <w:rsid w:val="006170E2"/>
    <w:rsid w:val="00631B78"/>
    <w:rsid w:val="00640999"/>
    <w:rsid w:val="00641E64"/>
    <w:rsid w:val="006425B2"/>
    <w:rsid w:val="00643321"/>
    <w:rsid w:val="0064410C"/>
    <w:rsid w:val="00646FE8"/>
    <w:rsid w:val="00656073"/>
    <w:rsid w:val="0065746B"/>
    <w:rsid w:val="00660755"/>
    <w:rsid w:val="00661861"/>
    <w:rsid w:val="00661CE9"/>
    <w:rsid w:val="006629EC"/>
    <w:rsid w:val="00672FFC"/>
    <w:rsid w:val="00674519"/>
    <w:rsid w:val="006861A4"/>
    <w:rsid w:val="00693F13"/>
    <w:rsid w:val="006A334B"/>
    <w:rsid w:val="006A7663"/>
    <w:rsid w:val="006B01AC"/>
    <w:rsid w:val="006B6762"/>
    <w:rsid w:val="006D6378"/>
    <w:rsid w:val="006E58CB"/>
    <w:rsid w:val="006F19FA"/>
    <w:rsid w:val="006F283A"/>
    <w:rsid w:val="006F31A9"/>
    <w:rsid w:val="006F7046"/>
    <w:rsid w:val="0070175F"/>
    <w:rsid w:val="00701E87"/>
    <w:rsid w:val="007041C2"/>
    <w:rsid w:val="007070F9"/>
    <w:rsid w:val="007120E6"/>
    <w:rsid w:val="007132B2"/>
    <w:rsid w:val="00714E2C"/>
    <w:rsid w:val="007222F3"/>
    <w:rsid w:val="00726EC3"/>
    <w:rsid w:val="00730A3C"/>
    <w:rsid w:val="00730DCB"/>
    <w:rsid w:val="0074598A"/>
    <w:rsid w:val="00747A9F"/>
    <w:rsid w:val="00757B3D"/>
    <w:rsid w:val="00765B65"/>
    <w:rsid w:val="0076733A"/>
    <w:rsid w:val="00774E9B"/>
    <w:rsid w:val="00782338"/>
    <w:rsid w:val="0079456D"/>
    <w:rsid w:val="00796B97"/>
    <w:rsid w:val="007B6DB9"/>
    <w:rsid w:val="007C231E"/>
    <w:rsid w:val="007C6CF4"/>
    <w:rsid w:val="007D036B"/>
    <w:rsid w:val="007D65D9"/>
    <w:rsid w:val="007D6E26"/>
    <w:rsid w:val="007F1BB4"/>
    <w:rsid w:val="007F1E67"/>
    <w:rsid w:val="007F57F4"/>
    <w:rsid w:val="00812A7F"/>
    <w:rsid w:val="00824199"/>
    <w:rsid w:val="00824D5C"/>
    <w:rsid w:val="008310EE"/>
    <w:rsid w:val="008334E2"/>
    <w:rsid w:val="0083367F"/>
    <w:rsid w:val="008341BC"/>
    <w:rsid w:val="008356D4"/>
    <w:rsid w:val="008413A5"/>
    <w:rsid w:val="00846DBA"/>
    <w:rsid w:val="00852FBB"/>
    <w:rsid w:val="008613CE"/>
    <w:rsid w:val="00874E69"/>
    <w:rsid w:val="00876B5B"/>
    <w:rsid w:val="0088668D"/>
    <w:rsid w:val="008905D9"/>
    <w:rsid w:val="0089129C"/>
    <w:rsid w:val="00891AB6"/>
    <w:rsid w:val="008B1469"/>
    <w:rsid w:val="008B6589"/>
    <w:rsid w:val="008C3E13"/>
    <w:rsid w:val="008C55C1"/>
    <w:rsid w:val="008D0A2F"/>
    <w:rsid w:val="008D0D6E"/>
    <w:rsid w:val="008D43A9"/>
    <w:rsid w:val="008E635B"/>
    <w:rsid w:val="008E7C4C"/>
    <w:rsid w:val="008F2824"/>
    <w:rsid w:val="008F386F"/>
    <w:rsid w:val="0090054B"/>
    <w:rsid w:val="00901E0B"/>
    <w:rsid w:val="00903A96"/>
    <w:rsid w:val="00913E77"/>
    <w:rsid w:val="00920164"/>
    <w:rsid w:val="00920D6D"/>
    <w:rsid w:val="009331BE"/>
    <w:rsid w:val="0094175C"/>
    <w:rsid w:val="00952C99"/>
    <w:rsid w:val="00964A29"/>
    <w:rsid w:val="009720DE"/>
    <w:rsid w:val="00976387"/>
    <w:rsid w:val="00977DA7"/>
    <w:rsid w:val="00982752"/>
    <w:rsid w:val="00983323"/>
    <w:rsid w:val="00984145"/>
    <w:rsid w:val="009841F7"/>
    <w:rsid w:val="009924B3"/>
    <w:rsid w:val="009A0896"/>
    <w:rsid w:val="009A177E"/>
    <w:rsid w:val="009A3431"/>
    <w:rsid w:val="009B2096"/>
    <w:rsid w:val="009B7B72"/>
    <w:rsid w:val="009D105E"/>
    <w:rsid w:val="009D38D6"/>
    <w:rsid w:val="009D5443"/>
    <w:rsid w:val="009D7F37"/>
    <w:rsid w:val="009E1856"/>
    <w:rsid w:val="009E3E5B"/>
    <w:rsid w:val="009E7CE2"/>
    <w:rsid w:val="00A017A3"/>
    <w:rsid w:val="00A01ADF"/>
    <w:rsid w:val="00A029E2"/>
    <w:rsid w:val="00A05D2D"/>
    <w:rsid w:val="00A13324"/>
    <w:rsid w:val="00A16452"/>
    <w:rsid w:val="00A21714"/>
    <w:rsid w:val="00A371F5"/>
    <w:rsid w:val="00A378AB"/>
    <w:rsid w:val="00A40567"/>
    <w:rsid w:val="00A4253E"/>
    <w:rsid w:val="00A46A31"/>
    <w:rsid w:val="00A46B6A"/>
    <w:rsid w:val="00A64EC4"/>
    <w:rsid w:val="00A7488E"/>
    <w:rsid w:val="00A75C73"/>
    <w:rsid w:val="00A775DB"/>
    <w:rsid w:val="00A82324"/>
    <w:rsid w:val="00A84ED6"/>
    <w:rsid w:val="00A850A3"/>
    <w:rsid w:val="00A85EB3"/>
    <w:rsid w:val="00A90A3B"/>
    <w:rsid w:val="00A90F30"/>
    <w:rsid w:val="00A94D32"/>
    <w:rsid w:val="00AA0D84"/>
    <w:rsid w:val="00AA7853"/>
    <w:rsid w:val="00AB3115"/>
    <w:rsid w:val="00AD666E"/>
    <w:rsid w:val="00AE079A"/>
    <w:rsid w:val="00AE243F"/>
    <w:rsid w:val="00AE6476"/>
    <w:rsid w:val="00AE7724"/>
    <w:rsid w:val="00AF24B8"/>
    <w:rsid w:val="00AF2513"/>
    <w:rsid w:val="00AF3876"/>
    <w:rsid w:val="00B05F1C"/>
    <w:rsid w:val="00B06B59"/>
    <w:rsid w:val="00B10CE8"/>
    <w:rsid w:val="00B30E6E"/>
    <w:rsid w:val="00B32A05"/>
    <w:rsid w:val="00B352D1"/>
    <w:rsid w:val="00B426C1"/>
    <w:rsid w:val="00B431E0"/>
    <w:rsid w:val="00B43C2D"/>
    <w:rsid w:val="00B4454E"/>
    <w:rsid w:val="00B5166D"/>
    <w:rsid w:val="00B545C8"/>
    <w:rsid w:val="00B5535D"/>
    <w:rsid w:val="00B617AF"/>
    <w:rsid w:val="00B66F3E"/>
    <w:rsid w:val="00B721A7"/>
    <w:rsid w:val="00B7374D"/>
    <w:rsid w:val="00B74081"/>
    <w:rsid w:val="00B9264A"/>
    <w:rsid w:val="00BA11B3"/>
    <w:rsid w:val="00BA1F6A"/>
    <w:rsid w:val="00BA34B2"/>
    <w:rsid w:val="00BB47C0"/>
    <w:rsid w:val="00BD0195"/>
    <w:rsid w:val="00BD5B5B"/>
    <w:rsid w:val="00BD6E66"/>
    <w:rsid w:val="00BD7178"/>
    <w:rsid w:val="00BE1ED0"/>
    <w:rsid w:val="00BF444F"/>
    <w:rsid w:val="00C02D68"/>
    <w:rsid w:val="00C0323C"/>
    <w:rsid w:val="00C04D15"/>
    <w:rsid w:val="00C061C8"/>
    <w:rsid w:val="00C07260"/>
    <w:rsid w:val="00C124DC"/>
    <w:rsid w:val="00C147AA"/>
    <w:rsid w:val="00C225B5"/>
    <w:rsid w:val="00C22DE4"/>
    <w:rsid w:val="00C302BA"/>
    <w:rsid w:val="00C31AD6"/>
    <w:rsid w:val="00C34075"/>
    <w:rsid w:val="00C3444B"/>
    <w:rsid w:val="00C37503"/>
    <w:rsid w:val="00C4330C"/>
    <w:rsid w:val="00C46AE9"/>
    <w:rsid w:val="00C53B85"/>
    <w:rsid w:val="00C53FB9"/>
    <w:rsid w:val="00C541ED"/>
    <w:rsid w:val="00C57A27"/>
    <w:rsid w:val="00C84633"/>
    <w:rsid w:val="00C86271"/>
    <w:rsid w:val="00C863C5"/>
    <w:rsid w:val="00C910C2"/>
    <w:rsid w:val="00CA3B7D"/>
    <w:rsid w:val="00CA617C"/>
    <w:rsid w:val="00CA6B84"/>
    <w:rsid w:val="00CB5CE8"/>
    <w:rsid w:val="00CB6938"/>
    <w:rsid w:val="00CC2814"/>
    <w:rsid w:val="00CC37DB"/>
    <w:rsid w:val="00CD62C6"/>
    <w:rsid w:val="00CE0175"/>
    <w:rsid w:val="00CF2731"/>
    <w:rsid w:val="00CF799F"/>
    <w:rsid w:val="00D01D64"/>
    <w:rsid w:val="00D1250C"/>
    <w:rsid w:val="00D14308"/>
    <w:rsid w:val="00D16346"/>
    <w:rsid w:val="00D23EE9"/>
    <w:rsid w:val="00D30D68"/>
    <w:rsid w:val="00D52887"/>
    <w:rsid w:val="00D54AF2"/>
    <w:rsid w:val="00D56C52"/>
    <w:rsid w:val="00D57A65"/>
    <w:rsid w:val="00D61A4D"/>
    <w:rsid w:val="00D621FC"/>
    <w:rsid w:val="00D708E9"/>
    <w:rsid w:val="00D81186"/>
    <w:rsid w:val="00D941C9"/>
    <w:rsid w:val="00DA5F99"/>
    <w:rsid w:val="00DB6D73"/>
    <w:rsid w:val="00DB7549"/>
    <w:rsid w:val="00DB7F1B"/>
    <w:rsid w:val="00DC2651"/>
    <w:rsid w:val="00DC3E94"/>
    <w:rsid w:val="00DC638F"/>
    <w:rsid w:val="00DC7380"/>
    <w:rsid w:val="00DD19B8"/>
    <w:rsid w:val="00DD5EC1"/>
    <w:rsid w:val="00DD7650"/>
    <w:rsid w:val="00DD7D12"/>
    <w:rsid w:val="00DE4A26"/>
    <w:rsid w:val="00DE76AD"/>
    <w:rsid w:val="00DF4F22"/>
    <w:rsid w:val="00E00D03"/>
    <w:rsid w:val="00E14426"/>
    <w:rsid w:val="00E24A4D"/>
    <w:rsid w:val="00E271BD"/>
    <w:rsid w:val="00E350E5"/>
    <w:rsid w:val="00E41BF7"/>
    <w:rsid w:val="00E43B11"/>
    <w:rsid w:val="00E456F1"/>
    <w:rsid w:val="00E542C4"/>
    <w:rsid w:val="00E602C8"/>
    <w:rsid w:val="00E609D5"/>
    <w:rsid w:val="00E6221A"/>
    <w:rsid w:val="00E622C5"/>
    <w:rsid w:val="00E66810"/>
    <w:rsid w:val="00E7217D"/>
    <w:rsid w:val="00E77A7F"/>
    <w:rsid w:val="00E83C17"/>
    <w:rsid w:val="00E848E9"/>
    <w:rsid w:val="00E84EDA"/>
    <w:rsid w:val="00E9103F"/>
    <w:rsid w:val="00EA7F32"/>
    <w:rsid w:val="00EB25E9"/>
    <w:rsid w:val="00EC0839"/>
    <w:rsid w:val="00EC37DD"/>
    <w:rsid w:val="00ED09BB"/>
    <w:rsid w:val="00EF30C0"/>
    <w:rsid w:val="00F01521"/>
    <w:rsid w:val="00F04A1E"/>
    <w:rsid w:val="00F06D34"/>
    <w:rsid w:val="00F07D0F"/>
    <w:rsid w:val="00F1337C"/>
    <w:rsid w:val="00F146B1"/>
    <w:rsid w:val="00F17217"/>
    <w:rsid w:val="00F24B27"/>
    <w:rsid w:val="00F24B28"/>
    <w:rsid w:val="00F26232"/>
    <w:rsid w:val="00F310A0"/>
    <w:rsid w:val="00F31891"/>
    <w:rsid w:val="00F31D6E"/>
    <w:rsid w:val="00F4027D"/>
    <w:rsid w:val="00F56261"/>
    <w:rsid w:val="00F56BEB"/>
    <w:rsid w:val="00F6188A"/>
    <w:rsid w:val="00F623E6"/>
    <w:rsid w:val="00F65530"/>
    <w:rsid w:val="00F70E3A"/>
    <w:rsid w:val="00F75DD1"/>
    <w:rsid w:val="00F82B14"/>
    <w:rsid w:val="00F95A78"/>
    <w:rsid w:val="00FA16DA"/>
    <w:rsid w:val="00FA7653"/>
    <w:rsid w:val="00FA7DF7"/>
    <w:rsid w:val="00FB2834"/>
    <w:rsid w:val="00FC15B9"/>
    <w:rsid w:val="00FC55BA"/>
    <w:rsid w:val="00FE151B"/>
    <w:rsid w:val="00FE3B8D"/>
    <w:rsid w:val="00FE6232"/>
    <w:rsid w:val="00FF2E51"/>
    <w:rsid w:val="00FF402A"/>
    <w:rsid w:val="00FF5D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E7F25"/>
  <w14:defaultImageDpi w14:val="32767"/>
  <w15:chartTrackingRefBased/>
  <w15:docId w15:val="{E32CA764-9ABF-415B-A29A-354CD013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6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96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6A6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6A6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96A63"/>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unhideWhenUsed/>
    <w:rsid w:val="00C84633"/>
    <w:pPr>
      <w:spacing w:after="0" w:line="240" w:lineRule="auto"/>
    </w:pPr>
    <w:rPr>
      <w:sz w:val="20"/>
      <w:szCs w:val="20"/>
    </w:rPr>
  </w:style>
  <w:style w:type="character" w:customStyle="1" w:styleId="TextonotapieCar">
    <w:name w:val="Texto nota pie Car"/>
    <w:basedOn w:val="Fuentedeprrafopredeter"/>
    <w:link w:val="Textonotapie"/>
    <w:uiPriority w:val="99"/>
    <w:rsid w:val="00C84633"/>
    <w:rPr>
      <w:sz w:val="20"/>
      <w:szCs w:val="20"/>
    </w:rPr>
  </w:style>
  <w:style w:type="character" w:styleId="Refdenotaalpie">
    <w:name w:val="footnote reference"/>
    <w:basedOn w:val="Fuentedeprrafopredeter"/>
    <w:uiPriority w:val="99"/>
    <w:semiHidden/>
    <w:unhideWhenUsed/>
    <w:rsid w:val="00C84633"/>
    <w:rPr>
      <w:vertAlign w:val="superscript"/>
    </w:rPr>
  </w:style>
  <w:style w:type="character" w:styleId="Hipervnculo">
    <w:name w:val="Hyperlink"/>
    <w:basedOn w:val="Fuentedeprrafopredeter"/>
    <w:uiPriority w:val="99"/>
    <w:unhideWhenUsed/>
    <w:rsid w:val="00C84633"/>
    <w:rPr>
      <w:color w:val="0563C1" w:themeColor="hyperlink"/>
      <w:u w:val="single"/>
    </w:rPr>
  </w:style>
  <w:style w:type="character" w:styleId="Mencinsinresolver">
    <w:name w:val="Unresolved Mention"/>
    <w:basedOn w:val="Fuentedeprrafopredeter"/>
    <w:uiPriority w:val="99"/>
    <w:semiHidden/>
    <w:unhideWhenUsed/>
    <w:rsid w:val="00C84633"/>
    <w:rPr>
      <w:color w:val="605E5C"/>
      <w:shd w:val="clear" w:color="auto" w:fill="E1DFDD"/>
    </w:rPr>
  </w:style>
  <w:style w:type="paragraph" w:styleId="Encabezado">
    <w:name w:val="header"/>
    <w:basedOn w:val="Normal"/>
    <w:link w:val="EncabezadoCar"/>
    <w:uiPriority w:val="99"/>
    <w:unhideWhenUsed/>
    <w:rsid w:val="00A84E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ED6"/>
  </w:style>
  <w:style w:type="paragraph" w:styleId="Piedepgina">
    <w:name w:val="footer"/>
    <w:basedOn w:val="Normal"/>
    <w:link w:val="PiedepginaCar"/>
    <w:uiPriority w:val="99"/>
    <w:unhideWhenUsed/>
    <w:rsid w:val="00A84E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28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bit.ly/2y5TSRQ" TargetMode="External"/><Relationship Id="rId3" Type="http://schemas.openxmlformats.org/officeDocument/2006/relationships/hyperlink" Target="https://bit.ly/2LyvvQ7" TargetMode="External"/><Relationship Id="rId7" Type="http://schemas.openxmlformats.org/officeDocument/2006/relationships/hyperlink" Target="https://bit.ly/3cDafVf" TargetMode="External"/><Relationship Id="rId2" Type="http://schemas.openxmlformats.org/officeDocument/2006/relationships/hyperlink" Target="https://bit.ly/364ckXy" TargetMode="External"/><Relationship Id="rId1" Type="http://schemas.openxmlformats.org/officeDocument/2006/relationships/hyperlink" Target="https://bit.ly/2TcJUpf" TargetMode="External"/><Relationship Id="rId6" Type="http://schemas.openxmlformats.org/officeDocument/2006/relationships/hyperlink" Target="https://bit.ly/3cFLmbc" TargetMode="External"/><Relationship Id="rId11" Type="http://schemas.openxmlformats.org/officeDocument/2006/relationships/hyperlink" Target="https://bit.ly/367PpLh" TargetMode="External"/><Relationship Id="rId5" Type="http://schemas.openxmlformats.org/officeDocument/2006/relationships/hyperlink" Target="https://bit.ly/2WDoWSE" TargetMode="External"/><Relationship Id="rId10" Type="http://schemas.openxmlformats.org/officeDocument/2006/relationships/hyperlink" Target="https://bit.ly/2LyvvQ7" TargetMode="External"/><Relationship Id="rId4" Type="http://schemas.openxmlformats.org/officeDocument/2006/relationships/hyperlink" Target="https://bit.ly/3fV2v2G" TargetMode="External"/><Relationship Id="rId9" Type="http://schemas.openxmlformats.org/officeDocument/2006/relationships/hyperlink" Target="https://bit.ly/2WDBuJ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Portfolio%20Git\3.Proximidad%20f&#237;sica%20por%20sectores\proximidad_fisica\4_Tablas\180420_proximity.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avid\Desktop\Portfolio%20Git\3.Proximidad%20f&#237;sica%20por%20sectores\proximidad_fisica\4_Tablas\180420_proximit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v>IND PROXI</c:v>
          </c:tx>
          <c:spPr>
            <a:solidFill>
              <a:srgbClr val="C00000">
                <a:alpha val="10000"/>
              </a:srgbClr>
            </a:solidFill>
            <a:ln w="12700">
              <a:solidFill>
                <a:srgbClr val="C00000"/>
              </a:solidFill>
            </a:ln>
            <a:effectLst/>
          </c:spPr>
          <c:invertIfNegative val="0"/>
          <c:dLbls>
            <c:dLbl>
              <c:idx val="0"/>
              <c:layout>
                <c:manualLayout>
                  <c:x val="-0.18449426078616404"/>
                  <c:y val="-4.5254774187709297E-2"/>
                </c:manualLayout>
              </c:layout>
              <c:tx>
                <c:strRef>
                  <c:f>'Formatted PE'!$A$3</c:f>
                  <c:strCache>
                    <c:ptCount val="1"/>
                    <c:pt idx="0">
                      <c:v>Agro. y pesca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{5B3F373D-7642-48E1-8096-66DC203D599D}</c15:txfldGUID>
                      <c15:f>'Formatted PE'!$A$3</c15:f>
                      <c15:dlblFieldTableCache>
                        <c:ptCount val="1"/>
                        <c:pt idx="0">
                          <c:v>Agro. y pesca</c:v>
                        </c:pt>
                      </c15:dlblFieldTableCache>
                    </c15:dlblFTEntry>
                  </c15:dlblFieldTable>
                  <c15:showDataLabelsRange val="0"/>
                </c:ext>
                <c:ext xmlns:c16="http://schemas.microsoft.com/office/drawing/2014/chart" uri="{C3380CC4-5D6E-409C-BE32-E72D297353CC}">
                  <c16:uniqueId val="{00000000-44C4-40CF-9EEC-E45FCEFDAA49}"/>
                </c:ext>
              </c:extLst>
            </c:dLbl>
            <c:dLbl>
              <c:idx val="1"/>
              <c:layout>
                <c:manualLayout>
                  <c:x val="-8.0439877480934646E-3"/>
                  <c:y val="-7.3606299212598425E-2"/>
                </c:manualLayout>
              </c:layout>
              <c:tx>
                <c:strRef>
                  <c:f>'Formatted PE'!$A$4</c:f>
                  <c:strCache>
                    <c:ptCount val="1"/>
                    <c:pt idx="0">
                      <c:v>Minería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{36F6E80B-18C2-454A-AB03-E555C708575D}</c15:txfldGUID>
                      <c15:f>'Formatted PE'!$A$4</c15:f>
                      <c15:dlblFieldTableCache>
                        <c:ptCount val="1"/>
                        <c:pt idx="0">
                          <c:v>Minería</c:v>
                        </c:pt>
                      </c15:dlblFieldTableCache>
                    </c15:dlblFTEntry>
                  </c15:dlblFieldTable>
                  <c15:showDataLabelsRange val="0"/>
                </c:ext>
                <c:ext xmlns:c16="http://schemas.microsoft.com/office/drawing/2014/chart" uri="{C3380CC4-5D6E-409C-BE32-E72D297353CC}">
                  <c16:uniqueId val="{00000001-44C4-40CF-9EEC-E45FCEFDAA49}"/>
                </c:ext>
              </c:extLst>
            </c:dLbl>
            <c:dLbl>
              <c:idx val="2"/>
              <c:layout>
                <c:manualLayout>
                  <c:x val="-1.8928621032276084E-2"/>
                  <c:y val="0.17186468122936235"/>
                </c:manualLayout>
              </c:layout>
              <c:tx>
                <c:strRef>
                  <c:f>'Formatted PE'!$A$5</c:f>
                  <c:strCache>
                    <c:ptCount val="1"/>
                    <c:pt idx="0">
                      <c:v>Manufactura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{26469A39-BF8F-45B1-BD9C-226C4FBFB3EE}</c15:txfldGUID>
                      <c15:f>'Formatted PE'!$A$5</c15:f>
                      <c15:dlblFieldTableCache>
                        <c:ptCount val="1"/>
                        <c:pt idx="0">
                          <c:v>Manufactura</c:v>
                        </c:pt>
                      </c15:dlblFieldTableCache>
                    </c15:dlblFTEntry>
                  </c15:dlblFieldTable>
                  <c15:showDataLabelsRange val="0"/>
                </c:ext>
                <c:ext xmlns:c16="http://schemas.microsoft.com/office/drawing/2014/chart" uri="{C3380CC4-5D6E-409C-BE32-E72D297353CC}">
                  <c16:uniqueId val="{00000002-44C4-40CF-9EEC-E45FCEFDAA49}"/>
                </c:ext>
              </c:extLst>
            </c:dLbl>
            <c:dLbl>
              <c:idx val="3"/>
              <c:layout>
                <c:manualLayout>
                  <c:x val="-0.17851515507644317"/>
                  <c:y val="0.12155868999237998"/>
                </c:manualLayout>
              </c:layout>
              <c:tx>
                <c:strRef>
                  <c:f>'Formatted PE'!$A$6</c:f>
                  <c:strCache>
                    <c:ptCount val="1"/>
                    <c:pt idx="0">
                      <c:v>Elec. y Agua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{44BBDE3A-5562-445E-93E3-FB7B69BF0518}</c15:txfldGUID>
                      <c15:f>'Formatted PE'!$A$6</c15:f>
                      <c15:dlblFieldTableCache>
                        <c:ptCount val="1"/>
                        <c:pt idx="0">
                          <c:v>Elec. y Agua</c:v>
                        </c:pt>
                      </c15:dlblFieldTableCache>
                    </c15:dlblFTEntry>
                  </c15:dlblFieldTable>
                  <c15:showDataLabelsRange val="0"/>
                </c:ext>
                <c:ext xmlns:c16="http://schemas.microsoft.com/office/drawing/2014/chart" uri="{C3380CC4-5D6E-409C-BE32-E72D297353CC}">
                  <c16:uniqueId val="{00000003-44C4-40CF-9EEC-E45FCEFDAA49}"/>
                </c:ext>
              </c:extLst>
            </c:dLbl>
            <c:dLbl>
              <c:idx val="4"/>
              <c:layout>
                <c:manualLayout>
                  <c:x val="1.6409827143751169E-2"/>
                  <c:y val="-6.0023610260321374E-2"/>
                </c:manualLayout>
              </c:layout>
              <c:tx>
                <c:strRef>
                  <c:f>'Formatted PE'!$A$7</c:f>
                  <c:strCache>
                    <c:ptCount val="1"/>
                    <c:pt idx="0">
                      <c:v>Construcción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{FD586F57-BC0F-4C95-90C8-2DABA12FD1D4}</c15:txfldGUID>
                      <c15:f>'Formatted PE'!$A$7</c15:f>
                      <c15:dlblFieldTableCache>
                        <c:ptCount val="1"/>
                        <c:pt idx="0">
                          <c:v>Construcción</c:v>
                        </c:pt>
                      </c15:dlblFieldTableCache>
                    </c15:dlblFTEntry>
                  </c15:dlblFieldTable>
                  <c15:showDataLabelsRange val="0"/>
                </c:ext>
                <c:ext xmlns:c16="http://schemas.microsoft.com/office/drawing/2014/chart" uri="{C3380CC4-5D6E-409C-BE32-E72D297353CC}">
                  <c16:uniqueId val="{00000004-44C4-40CF-9EEC-E45FCEFDAA49}"/>
                </c:ext>
              </c:extLst>
            </c:dLbl>
            <c:dLbl>
              <c:idx val="5"/>
              <c:layout>
                <c:manualLayout>
                  <c:x val="-0.16881163260291249"/>
                  <c:y val="0.13079954597409205"/>
                </c:manualLayout>
              </c:layout>
              <c:tx>
                <c:strRef>
                  <c:f>'Formatted PE'!$A$8</c:f>
                  <c:strCache>
                    <c:ptCount val="1"/>
                    <c:pt idx="0">
                      <c:v>Comercio</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{8F76875C-C662-475E-9B82-66DDE4EF1A04}</c15:txfldGUID>
                      <c15:f>'Formatted PE'!$A$8</c15:f>
                      <c15:dlblFieldTableCache>
                        <c:ptCount val="1"/>
                        <c:pt idx="0">
                          <c:v>Comercio</c:v>
                        </c:pt>
                      </c15:dlblFieldTableCache>
                    </c15:dlblFTEntry>
                  </c15:dlblFieldTable>
                  <c15:showDataLabelsRange val="0"/>
                </c:ext>
                <c:ext xmlns:c16="http://schemas.microsoft.com/office/drawing/2014/chart" uri="{C3380CC4-5D6E-409C-BE32-E72D297353CC}">
                  <c16:uniqueId val="{00000005-44C4-40CF-9EEC-E45FCEFDAA49}"/>
                </c:ext>
              </c:extLst>
            </c:dLbl>
            <c:dLbl>
              <c:idx val="6"/>
              <c:layout>
                <c:manualLayout>
                  <c:x val="1.726941527153068E-2"/>
                  <c:y val="0.11583970980441961"/>
                </c:manualLayout>
              </c:layout>
              <c:tx>
                <c:strRef>
                  <c:f>'Formatted PE'!$A$9</c:f>
                  <c:strCache>
                    <c:ptCount val="1"/>
                    <c:pt idx="0">
                      <c:v>Transporte</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{353876F9-DAF6-432A-A55F-E7E010E95811}</c15:txfldGUID>
                      <c15:f>'Formatted PE'!$A$9</c15:f>
                      <c15:dlblFieldTableCache>
                        <c:ptCount val="1"/>
                        <c:pt idx="0">
                          <c:v>Transporte</c:v>
                        </c:pt>
                      </c15:dlblFieldTableCache>
                    </c15:dlblFTEntry>
                  </c15:dlblFieldTable>
                  <c15:showDataLabelsRange val="0"/>
                </c:ext>
                <c:ext xmlns:c16="http://schemas.microsoft.com/office/drawing/2014/chart" uri="{C3380CC4-5D6E-409C-BE32-E72D297353CC}">
                  <c16:uniqueId val="{00000006-44C4-40CF-9EEC-E45FCEFDAA49}"/>
                </c:ext>
              </c:extLst>
            </c:dLbl>
            <c:dLbl>
              <c:idx val="7"/>
              <c:layout>
                <c:manualLayout>
                  <c:x val="-3.7115000850826849E-2"/>
                  <c:y val="7.860403656439488E-2"/>
                </c:manualLayout>
              </c:layout>
              <c:tx>
                <c:strRef>
                  <c:f>'Formatted PE'!$A$10</c:f>
                  <c:strCache>
                    <c:ptCount val="1"/>
                    <c:pt idx="0">
                      <c:v>Aloja. y rest.</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{A2A78108-5DFA-4EC4-A4AD-C226D6C87DD6}</c15:txfldGUID>
                      <c15:f>'Formatted PE'!$A$10</c15:f>
                      <c15:dlblFieldTableCache>
                        <c:ptCount val="1"/>
                        <c:pt idx="0">
                          <c:v>Aloja. y rest.</c:v>
                        </c:pt>
                      </c15:dlblFieldTableCache>
                    </c15:dlblFTEntry>
                  </c15:dlblFieldTable>
                  <c15:showDataLabelsRange val="0"/>
                </c:ext>
                <c:ext xmlns:c16="http://schemas.microsoft.com/office/drawing/2014/chart" uri="{C3380CC4-5D6E-409C-BE32-E72D297353CC}">
                  <c16:uniqueId val="{00000007-44C4-40CF-9EEC-E45FCEFDAA49}"/>
                </c:ext>
              </c:extLst>
            </c:dLbl>
            <c:dLbl>
              <c:idx val="8"/>
              <c:layout>
                <c:manualLayout>
                  <c:x val="-0.20925970329347338"/>
                  <c:y val="4.9293510724952486E-2"/>
                </c:manualLayout>
              </c:layout>
              <c:tx>
                <c:strRef>
                  <c:f>'Formatted PE'!$A$11</c:f>
                  <c:strCache>
                    <c:ptCount val="1"/>
                    <c:pt idx="0">
                      <c:v>Infor. y comun.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{EA07BE39-08FE-449C-A47C-2F1AECA91E96}</c15:txfldGUID>
                      <c15:f>'Formatted PE'!$A$11</c15:f>
                      <c15:dlblFieldTableCache>
                        <c:ptCount val="1"/>
                        <c:pt idx="0">
                          <c:v>Infor. y comun.</c:v>
                        </c:pt>
                      </c15:dlblFieldTableCache>
                    </c15:dlblFTEntry>
                  </c15:dlblFieldTable>
                  <c15:showDataLabelsRange val="0"/>
                </c:ext>
                <c:ext xmlns:c16="http://schemas.microsoft.com/office/drawing/2014/chart" uri="{C3380CC4-5D6E-409C-BE32-E72D297353CC}">
                  <c16:uniqueId val="{00000008-44C4-40CF-9EEC-E45FCEFDAA49}"/>
                </c:ext>
              </c:extLst>
            </c:dLbl>
            <c:dLbl>
              <c:idx val="9"/>
              <c:layout>
                <c:manualLayout>
                  <c:x val="-0.21190693501229832"/>
                  <c:y val="-0.14045904606751741"/>
                </c:manualLayout>
              </c:layout>
              <c:tx>
                <c:strRef>
                  <c:f>'Formatted PE'!$A$12</c:f>
                  <c:strCache>
                    <c:ptCount val="1"/>
                    <c:pt idx="0">
                      <c:v>Act. Financieras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{0769375A-9279-40A6-822F-A8CAEC915CBD}</c15:txfldGUID>
                      <c15:f>'Formatted PE'!$A$12</c15:f>
                      <c15:dlblFieldTableCache>
                        <c:ptCount val="1"/>
                        <c:pt idx="0">
                          <c:v>Act. Financieras</c:v>
                        </c:pt>
                      </c15:dlblFieldTableCache>
                    </c15:dlblFTEntry>
                  </c15:dlblFieldTable>
                  <c15:showDataLabelsRange val="0"/>
                </c:ext>
                <c:ext xmlns:c16="http://schemas.microsoft.com/office/drawing/2014/chart" uri="{C3380CC4-5D6E-409C-BE32-E72D297353CC}">
                  <c16:uniqueId val="{00000009-44C4-40CF-9EEC-E45FCEFDAA49}"/>
                </c:ext>
              </c:extLst>
            </c:dLbl>
            <c:dLbl>
              <c:idx val="10"/>
              <c:layout>
                <c:manualLayout>
                  <c:x val="-0.20905374808667135"/>
                  <c:y val="-1.0216535126636467E-2"/>
                </c:manualLayout>
              </c:layout>
              <c:tx>
                <c:strRef>
                  <c:f>'Formatted PE'!$A$13</c:f>
                  <c:strCache>
                    <c:ptCount val="1"/>
                    <c:pt idx="0">
                      <c:v>Act. Inmob.</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{1C221D85-EFCF-4A14-A2B4-5D0218473EE9}</c15:txfldGUID>
                      <c15:f>'Formatted PE'!$A$13</c15:f>
                      <c15:dlblFieldTableCache>
                        <c:ptCount val="1"/>
                        <c:pt idx="0">
                          <c:v>Act. Inmob.</c:v>
                        </c:pt>
                      </c15:dlblFieldTableCache>
                    </c15:dlblFTEntry>
                  </c15:dlblFieldTable>
                  <c15:showDataLabelsRange val="0"/>
                </c:ext>
                <c:ext xmlns:c16="http://schemas.microsoft.com/office/drawing/2014/chart" uri="{C3380CC4-5D6E-409C-BE32-E72D297353CC}">
                  <c16:uniqueId val="{0000000A-44C4-40CF-9EEC-E45FCEFDAA49}"/>
                </c:ext>
              </c:extLst>
            </c:dLbl>
            <c:dLbl>
              <c:idx val="11"/>
              <c:layout>
                <c:manualLayout>
                  <c:x val="-0.15077289884442244"/>
                  <c:y val="-0.14501113222916101"/>
                </c:manualLayout>
              </c:layout>
              <c:tx>
                <c:strRef>
                  <c:f>'Formatted PE'!$A$14</c:f>
                  <c:strCache>
                    <c:ptCount val="1"/>
                    <c:pt idx="0">
                      <c:v>Act. Profesionales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{1888B680-9729-4076-98B1-3859B3609579}</c15:txfldGUID>
                      <c15:f>'Formatted PE'!$A$14</c15:f>
                      <c15:dlblFieldTableCache>
                        <c:ptCount val="1"/>
                        <c:pt idx="0">
                          <c:v>Act. Profesionales</c:v>
                        </c:pt>
                      </c15:dlblFieldTableCache>
                    </c15:dlblFTEntry>
                  </c15:dlblFieldTable>
                  <c15:showDataLabelsRange val="0"/>
                </c:ext>
                <c:ext xmlns:c16="http://schemas.microsoft.com/office/drawing/2014/chart" uri="{C3380CC4-5D6E-409C-BE32-E72D297353CC}">
                  <c16:uniqueId val="{0000000B-44C4-40CF-9EEC-E45FCEFDAA49}"/>
                </c:ext>
              </c:extLst>
            </c:dLbl>
            <c:dLbl>
              <c:idx val="12"/>
              <c:layout>
                <c:manualLayout>
                  <c:x val="-4.3561754559658432E-2"/>
                  <c:y val="-9.0943252783057371E-2"/>
                </c:manualLayout>
              </c:layout>
              <c:tx>
                <c:strRef>
                  <c:f>'Formatted PE'!$A$15</c:f>
                  <c:strCache>
                    <c:ptCount val="1"/>
                    <c:pt idx="0">
                      <c:v>Serv. Admin.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{96586496-0DA2-4726-9C04-19B7E6E949E0}</c15:txfldGUID>
                      <c15:f>'Formatted PE'!$A$15</c15:f>
                      <c15:dlblFieldTableCache>
                        <c:ptCount val="1"/>
                        <c:pt idx="0">
                          <c:v>Serv. Admin.</c:v>
                        </c:pt>
                      </c15:dlblFieldTableCache>
                    </c15:dlblFTEntry>
                  </c15:dlblFieldTable>
                  <c15:showDataLabelsRange val="0"/>
                </c:ext>
                <c:ext xmlns:c16="http://schemas.microsoft.com/office/drawing/2014/chart" uri="{C3380CC4-5D6E-409C-BE32-E72D297353CC}">
                  <c16:uniqueId val="{0000000C-44C4-40CF-9EEC-E45FCEFDAA49}"/>
                </c:ext>
              </c:extLst>
            </c:dLbl>
            <c:dLbl>
              <c:idx val="13"/>
              <c:layout>
                <c:manualLayout>
                  <c:x val="-5.6957659804057738E-2"/>
                  <c:y val="-0.13332724790449585"/>
                </c:manualLayout>
              </c:layout>
              <c:tx>
                <c:strRef>
                  <c:f>'Formatted PE'!$A$16</c:f>
                  <c:strCache>
                    <c:ptCount val="1"/>
                    <c:pt idx="0">
                      <c:v>Adm. Pública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{8675936B-DBFB-4EBD-8FF8-08EDF649A74A}</c15:txfldGUID>
                      <c15:f>'Formatted PE'!$A$16</c15:f>
                      <c15:dlblFieldTableCache>
                        <c:ptCount val="1"/>
                        <c:pt idx="0">
                          <c:v>Adm. Pública</c:v>
                        </c:pt>
                      </c15:dlblFieldTableCache>
                    </c15:dlblFTEntry>
                  </c15:dlblFieldTable>
                  <c15:showDataLabelsRange val="0"/>
                </c:ext>
                <c:ext xmlns:c16="http://schemas.microsoft.com/office/drawing/2014/chart" uri="{C3380CC4-5D6E-409C-BE32-E72D297353CC}">
                  <c16:uniqueId val="{0000000D-44C4-40CF-9EEC-E45FCEFDAA49}"/>
                </c:ext>
              </c:extLst>
            </c:dLbl>
            <c:dLbl>
              <c:idx val="14"/>
              <c:layout>
                <c:manualLayout>
                  <c:x val="1.4410410367632132E-3"/>
                  <c:y val="-7.2817183134366317E-2"/>
                </c:manualLayout>
              </c:layout>
              <c:tx>
                <c:strRef>
                  <c:f>'Formatted PE'!$A$17</c:f>
                  <c:strCache>
                    <c:ptCount val="1"/>
                    <c:pt idx="0">
                      <c:v>Enseñanza privada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{5F8B30E7-DF4B-4096-BF7C-242F168CCBD3}</c15:txfldGUID>
                      <c15:f>'Formatted PE'!$A$17</c15:f>
                      <c15:dlblFieldTableCache>
                        <c:ptCount val="1"/>
                        <c:pt idx="0">
                          <c:v>Enseñanza privada</c:v>
                        </c:pt>
                      </c15:dlblFieldTableCache>
                    </c15:dlblFTEntry>
                  </c15:dlblFieldTable>
                  <c15:showDataLabelsRange val="0"/>
                </c:ext>
                <c:ext xmlns:c16="http://schemas.microsoft.com/office/drawing/2014/chart" uri="{C3380CC4-5D6E-409C-BE32-E72D297353CC}">
                  <c16:uniqueId val="{0000000E-44C4-40CF-9EEC-E45FCEFDAA49}"/>
                </c:ext>
              </c:extLst>
            </c:dLbl>
            <c:dLbl>
              <c:idx val="15"/>
              <c:layout>
                <c:manualLayout>
                  <c:x val="-3.5676698140577584E-2"/>
                  <c:y val="-6.5018088405227784E-2"/>
                </c:manualLayout>
              </c:layout>
              <c:tx>
                <c:strRef>
                  <c:f>'Formatted PE'!$A$18</c:f>
                  <c:strCache>
                    <c:ptCount val="1"/>
                    <c:pt idx="0">
                      <c:v>Salud</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{10034C99-F961-4B82-8D7A-1135C113A36E}</c15:txfldGUID>
                      <c15:f>'Formatted PE'!$A$18</c15:f>
                      <c15:dlblFieldTableCache>
                        <c:ptCount val="1"/>
                        <c:pt idx="0">
                          <c:v>Salud</c:v>
                        </c:pt>
                      </c15:dlblFieldTableCache>
                    </c15:dlblFTEntry>
                  </c15:dlblFieldTable>
                  <c15:showDataLabelsRange val="0"/>
                </c:ext>
                <c:ext xmlns:c16="http://schemas.microsoft.com/office/drawing/2014/chart" uri="{C3380CC4-5D6E-409C-BE32-E72D297353CC}">
                  <c16:uniqueId val="{0000000F-44C4-40CF-9EEC-E45FCEFDAA49}"/>
                </c:ext>
              </c:extLst>
            </c:dLbl>
            <c:dLbl>
              <c:idx val="16"/>
              <c:layout>
                <c:manualLayout>
                  <c:x val="-5.0088141967329705E-3"/>
                  <c:y val="4.0806769113538224E-3"/>
                </c:manualLayout>
              </c:layout>
              <c:tx>
                <c:strRef>
                  <c:f>'Formatted PE'!$A$19</c:f>
                  <c:strCache>
                    <c:ptCount val="1"/>
                    <c:pt idx="0">
                      <c:v>Otros servicios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{27F93A7A-4CC6-4ED0-BA84-83A61618A13D}</c15:txfldGUID>
                      <c15:f>'Formatted PE'!$A$19</c15:f>
                      <c15:dlblFieldTableCache>
                        <c:ptCount val="1"/>
                        <c:pt idx="0">
                          <c:v>Otros servicios</c:v>
                        </c:pt>
                      </c15:dlblFieldTableCache>
                    </c15:dlblFTEntry>
                  </c15:dlblFieldTable>
                  <c15:showDataLabelsRange val="0"/>
                </c:ext>
                <c:ext xmlns:c16="http://schemas.microsoft.com/office/drawing/2014/chart" uri="{C3380CC4-5D6E-409C-BE32-E72D297353CC}">
                  <c16:uniqueId val="{00000010-44C4-40CF-9EEC-E45FCEFDAA49}"/>
                </c:ext>
              </c:extLst>
            </c:dLbl>
            <c:dLbl>
              <c:idx val="17"/>
              <c:layout>
                <c:manualLayout>
                  <c:x val="4.3883606524211189E-3"/>
                  <c:y val="2.5862324199580195E-2"/>
                </c:manualLayout>
              </c:layout>
              <c:tx>
                <c:strRef>
                  <c:f>'Formatted PE'!$A$20</c:f>
                  <c:strCache>
                    <c:ptCount val="1"/>
                    <c:pt idx="0">
                      <c:v>Act. org. y órganos extra.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{215EE817-B7AC-4210-B313-904C8C48437E}</c15:txfldGUID>
                      <c15:f>'Formatted PE'!$A$20</c15:f>
                      <c15:dlblFieldTableCache>
                        <c:ptCount val="1"/>
                        <c:pt idx="0">
                          <c:v>Act. org. y órganos extra.</c:v>
                        </c:pt>
                      </c15:dlblFieldTableCache>
                    </c15:dlblFTEntry>
                  </c15:dlblFieldTable>
                  <c15:showDataLabelsRange val="0"/>
                </c:ext>
                <c:ext xmlns:c16="http://schemas.microsoft.com/office/drawing/2014/chart" uri="{C3380CC4-5D6E-409C-BE32-E72D297353CC}">
                  <c16:uniqueId val="{00000011-44C4-40CF-9EEC-E45FCEFDAA49}"/>
                </c:ext>
              </c:extLst>
            </c:dLbl>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mj-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'Formatted PE'!$C$3:$C$20</c:f>
              <c:numCache>
                <c:formatCode>0.00</c:formatCode>
                <c:ptCount val="18"/>
                <c:pt idx="0">
                  <c:v>47.964364160503656</c:v>
                </c:pt>
                <c:pt idx="1">
                  <c:v>64.655592883209437</c:v>
                </c:pt>
                <c:pt idx="2">
                  <c:v>57.07273934508283</c:v>
                </c:pt>
                <c:pt idx="3">
                  <c:v>56.555608160016106</c:v>
                </c:pt>
                <c:pt idx="4">
                  <c:v>64.599281574900971</c:v>
                </c:pt>
                <c:pt idx="5">
                  <c:v>56.298277198753247</c:v>
                </c:pt>
                <c:pt idx="6">
                  <c:v>61.579322368496598</c:v>
                </c:pt>
                <c:pt idx="7">
                  <c:v>73.952028867432404</c:v>
                </c:pt>
                <c:pt idx="8">
                  <c:v>54.736699367270504</c:v>
                </c:pt>
                <c:pt idx="9">
                  <c:v>55.617232063256331</c:v>
                </c:pt>
                <c:pt idx="10">
                  <c:v>50.69627152494737</c:v>
                </c:pt>
                <c:pt idx="11">
                  <c:v>52.809071063792508</c:v>
                </c:pt>
                <c:pt idx="12">
                  <c:v>58.680342089457348</c:v>
                </c:pt>
                <c:pt idx="13">
                  <c:v>59.208270855195565</c:v>
                </c:pt>
                <c:pt idx="14">
                  <c:v>64.241682518739992</c:v>
                </c:pt>
                <c:pt idx="15">
                  <c:v>75.107165925015053</c:v>
                </c:pt>
                <c:pt idx="16">
                  <c:v>63.392377682850864</c:v>
                </c:pt>
                <c:pt idx="17">
                  <c:v>64.140895773578677</c:v>
                </c:pt>
              </c:numCache>
            </c:numRef>
          </c:xVal>
          <c:yVal>
            <c:numRef>
              <c:f>'Formatted PE'!$E$3:$E$20</c:f>
              <c:numCache>
                <c:formatCode>0.00</c:formatCode>
                <c:ptCount val="18"/>
                <c:pt idx="0">
                  <c:v>0.52918720584581469</c:v>
                </c:pt>
                <c:pt idx="1">
                  <c:v>2.0968726313604598</c:v>
                </c:pt>
                <c:pt idx="2">
                  <c:v>1.0217826714458838</c:v>
                </c:pt>
                <c:pt idx="3">
                  <c:v>1.252511673379662</c:v>
                </c:pt>
                <c:pt idx="4">
                  <c:v>1.2696078236010631</c:v>
                </c:pt>
                <c:pt idx="5">
                  <c:v>0.88901349470812518</c:v>
                </c:pt>
                <c:pt idx="6">
                  <c:v>0.97378890760274339</c:v>
                </c:pt>
                <c:pt idx="7">
                  <c:v>0.8056624414335537</c:v>
                </c:pt>
                <c:pt idx="8">
                  <c:v>1.4753205455654292</c:v>
                </c:pt>
                <c:pt idx="9">
                  <c:v>2.0174989430507324</c:v>
                </c:pt>
                <c:pt idx="10">
                  <c:v>1.8191456012905123</c:v>
                </c:pt>
                <c:pt idx="11">
                  <c:v>1.713086544650392</c:v>
                </c:pt>
                <c:pt idx="12">
                  <c:v>1.0774376301761677</c:v>
                </c:pt>
                <c:pt idx="13">
                  <c:v>1.81112881763449</c:v>
                </c:pt>
                <c:pt idx="14">
                  <c:v>1.4670977295933212</c:v>
                </c:pt>
                <c:pt idx="15">
                  <c:v>1.7974379527997659</c:v>
                </c:pt>
                <c:pt idx="16">
                  <c:v>0.72938250614423927</c:v>
                </c:pt>
                <c:pt idx="17">
                  <c:v>3.1336744834318728</c:v>
                </c:pt>
              </c:numCache>
            </c:numRef>
          </c:yVal>
          <c:bubbleSize>
            <c:numRef>
              <c:f>'Formatted PE'!$I$3:$I$20</c:f>
              <c:numCache>
                <c:formatCode>0.00%</c:formatCode>
                <c:ptCount val="18"/>
                <c:pt idx="0">
                  <c:v>6.392011578852147E-2</c:v>
                </c:pt>
                <c:pt idx="1">
                  <c:v>0.1368964893380811</c:v>
                </c:pt>
                <c:pt idx="2">
                  <c:v>0.14592602034522742</c:v>
                </c:pt>
                <c:pt idx="3">
                  <c:v>2.0271214874877673E-2</c:v>
                </c:pt>
                <c:pt idx="4">
                  <c:v>6.5005633177358732E-2</c:v>
                </c:pt>
                <c:pt idx="5">
                  <c:v>0.11395876678645735</c:v>
                </c:pt>
                <c:pt idx="6">
                  <c:v>6.1629838570406492E-2</c:v>
                </c:pt>
                <c:pt idx="7">
                  <c:v>3.4574140015295927E-2</c:v>
                </c:pt>
                <c:pt idx="8">
                  <c:v>4.9064152432956969E-2</c:v>
                </c:pt>
                <c:pt idx="9">
                  <c:v>4.9839228295819937E-2</c:v>
                </c:pt>
                <c:pt idx="10">
                  <c:v>4.6854055476517463E-2</c:v>
                </c:pt>
                <c:pt idx="11">
                  <c:v>2.6301181733702848E-2</c:v>
                </c:pt>
                <c:pt idx="12">
                  <c:v>2.7571730495637371E-2</c:v>
                </c:pt>
                <c:pt idx="13">
                  <c:v>5.5916480949992187E-2</c:v>
                </c:pt>
                <c:pt idx="14">
                  <c:v>4.5001685841399332E-2</c:v>
                </c:pt>
                <c:pt idx="15">
                  <c:v>2.7082425309002393E-2</c:v>
                </c:pt>
                <c:pt idx="16">
                  <c:v>2.8102153765182852E-2</c:v>
                </c:pt>
                <c:pt idx="17">
                  <c:v>2.0846868035624706E-3</c:v>
                </c:pt>
              </c:numCache>
            </c:numRef>
          </c:bubbleSize>
          <c:bubble3D val="0"/>
          <c:extLst>
            <c:ext xmlns:c16="http://schemas.microsoft.com/office/drawing/2014/chart" uri="{C3380CC4-5D6E-409C-BE32-E72D297353CC}">
              <c16:uniqueId val="{00000012-44C4-40CF-9EEC-E45FCEFDAA49}"/>
            </c:ext>
          </c:extLst>
        </c:ser>
        <c:dLbls>
          <c:showLegendKey val="0"/>
          <c:showVal val="0"/>
          <c:showCatName val="0"/>
          <c:showSerName val="0"/>
          <c:showPercent val="0"/>
          <c:showBubbleSize val="0"/>
        </c:dLbls>
        <c:bubbleScale val="50"/>
        <c:showNegBubbles val="0"/>
        <c:axId val="51711696"/>
        <c:axId val="51708416"/>
      </c:bubbleChart>
      <c:valAx>
        <c:axId val="51711696"/>
        <c:scaling>
          <c:orientation val="minMax"/>
          <c:max val="80"/>
          <c:min val="40"/>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r>
                  <a:rPr lang="es-PE"/>
                  <a:t>Índice de Proximidad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endParaRPr lang="es-PE"/>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endParaRPr lang="es-PE"/>
          </a:p>
        </c:txPr>
        <c:crossAx val="51708416"/>
        <c:crosses val="autoZero"/>
        <c:crossBetween val="midCat"/>
      </c:valAx>
      <c:valAx>
        <c:axId val="51708416"/>
        <c:scaling>
          <c:orientation val="minMax"/>
          <c:max val="3.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r>
                  <a:rPr lang="es-PE"/>
                  <a:t>Ingreso Bruto Mensual Promedio</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endParaRPr lang="es-PE"/>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j-lt"/>
                <a:ea typeface="+mn-ea"/>
                <a:cs typeface="+mn-cs"/>
              </a:defRPr>
            </a:pPr>
            <a:endParaRPr lang="es-PE"/>
          </a:p>
        </c:txPr>
        <c:crossAx val="517116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6350" cap="flat" cmpd="sng" algn="ctr">
      <a:solidFill>
        <a:schemeClr val="bg2">
          <a:lumMod val="75000"/>
        </a:schemeClr>
      </a:solidFill>
      <a:round/>
    </a:ln>
    <a:effectLst/>
  </c:spPr>
  <c:txPr>
    <a:bodyPr/>
    <a:lstStyle/>
    <a:p>
      <a:pPr>
        <a:defRPr sz="800">
          <a:latin typeface="+mj-lt"/>
        </a:defRPr>
      </a:pPr>
      <a:endParaRPr lang="es-P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384971390486892E-2"/>
          <c:y val="2.2286709561849499E-2"/>
          <c:w val="0.86691257300131208"/>
          <c:h val="0.85237319240365661"/>
        </c:manualLayout>
      </c:layout>
      <c:bubbleChart>
        <c:varyColors val="0"/>
        <c:ser>
          <c:idx val="0"/>
          <c:order val="0"/>
          <c:tx>
            <c:v>QUINTILES</c:v>
          </c:tx>
          <c:spPr>
            <a:solidFill>
              <a:srgbClr val="7030A0">
                <a:alpha val="10000"/>
              </a:srgbClr>
            </a:solidFill>
            <a:ln w="12700">
              <a:solidFill>
                <a:srgbClr val="7030A0"/>
              </a:solidFill>
            </a:ln>
            <a:effectLst/>
          </c:spPr>
          <c:invertIfNegative val="0"/>
          <c:dLbls>
            <c:dLbl>
              <c:idx val="0"/>
              <c:layout>
                <c:manualLayout>
                  <c:x val="-0.10859781429850117"/>
                  <c:y val="0.13824547805489354"/>
                </c:manualLayout>
              </c:layout>
              <c:tx>
                <c:strRef>
                  <c:f>'Quintil 1 y 2'!$A$3</c:f>
                  <c:strCache>
                    <c:ptCount val="1"/>
                    <c:pt idx="0">
                      <c:v>Agro. y pesca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{EB1DE0E2-BB84-4F5C-BB5F-39729DE5E314}</c15:txfldGUID>
                      <c15:f>'Quintil 1 y 2'!$A$3</c15:f>
                      <c15:dlblFieldTableCache>
                        <c:ptCount val="1"/>
                        <c:pt idx="0">
                          <c:v>Agro. y pesca</c:v>
                        </c:pt>
                      </c15:dlblFieldTableCache>
                    </c15:dlblFTEntry>
                  </c15:dlblFieldTable>
                  <c15:showDataLabelsRange val="0"/>
                </c:ext>
                <c:ext xmlns:c16="http://schemas.microsoft.com/office/drawing/2014/chart" uri="{C3380CC4-5D6E-409C-BE32-E72D297353CC}">
                  <c16:uniqueId val="{00000000-8996-4845-A26D-CF54BAF0EB95}"/>
                </c:ext>
              </c:extLst>
            </c:dLbl>
            <c:dLbl>
              <c:idx val="1"/>
              <c:layout>
                <c:manualLayout>
                  <c:x val="4.0440798134490683E-2"/>
                  <c:y val="-7.3958937945505718E-2"/>
                </c:manualLayout>
              </c:layout>
              <c:tx>
                <c:strRef>
                  <c:f>'Quintil 1 y 2'!$A$4</c:f>
                  <c:strCache>
                    <c:ptCount val="1"/>
                    <c:pt idx="0">
                      <c:v>Minería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{4BF42650-4861-4F79-8F1D-8D1AF8000B00}</c15:txfldGUID>
                      <c15:f>'Quintil 1 y 2'!$A$4</c15:f>
                      <c15:dlblFieldTableCache>
                        <c:ptCount val="1"/>
                        <c:pt idx="0">
                          <c:v>Minería</c:v>
                        </c:pt>
                      </c15:dlblFieldTableCache>
                    </c15:dlblFTEntry>
                  </c15:dlblFieldTable>
                  <c15:showDataLabelsRange val="0"/>
                </c:ext>
                <c:ext xmlns:c16="http://schemas.microsoft.com/office/drawing/2014/chart" uri="{C3380CC4-5D6E-409C-BE32-E72D297353CC}">
                  <c16:uniqueId val="{00000001-8996-4845-A26D-CF54BAF0EB95}"/>
                </c:ext>
              </c:extLst>
            </c:dLbl>
            <c:dLbl>
              <c:idx val="2"/>
              <c:layout>
                <c:manualLayout>
                  <c:x val="-2.9006933834763243E-2"/>
                  <c:y val="0.11689857442214885"/>
                </c:manualLayout>
              </c:layout>
              <c:tx>
                <c:strRef>
                  <c:f>'Quintil 1 y 2'!$A$5</c:f>
                  <c:strCache>
                    <c:ptCount val="1"/>
                    <c:pt idx="0">
                      <c:v>Manufactura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{9FE5375E-DE50-4BDD-88E7-23ECD39B18DB}</c15:txfldGUID>
                      <c15:f>'Quintil 1 y 2'!$A$5</c15:f>
                      <c15:dlblFieldTableCache>
                        <c:ptCount val="1"/>
                        <c:pt idx="0">
                          <c:v>Manufactura</c:v>
                        </c:pt>
                      </c15:dlblFieldTableCache>
                    </c15:dlblFTEntry>
                  </c15:dlblFieldTable>
                  <c15:showDataLabelsRange val="0"/>
                </c:ext>
                <c:ext xmlns:c16="http://schemas.microsoft.com/office/drawing/2014/chart" uri="{C3380CC4-5D6E-409C-BE32-E72D297353CC}">
                  <c16:uniqueId val="{00000002-8996-4845-A26D-CF54BAF0EB95}"/>
                </c:ext>
              </c:extLst>
            </c:dLbl>
            <c:dLbl>
              <c:idx val="3"/>
              <c:layout>
                <c:manualLayout>
                  <c:x val="-0.1179786108825949"/>
                  <c:y val="5.6296434467868937E-2"/>
                </c:manualLayout>
              </c:layout>
              <c:tx>
                <c:strRef>
                  <c:f>'Quintil 1 y 2'!$A$6</c:f>
                  <c:strCache>
                    <c:ptCount val="1"/>
                    <c:pt idx="0">
                      <c:v>Elec. y Agua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{14B6C028-75D2-4968-ABE5-CF72D69EF6BC}</c15:txfldGUID>
                      <c15:f>'Quintil 1 y 2'!$A$6</c15:f>
                      <c15:dlblFieldTableCache>
                        <c:ptCount val="1"/>
                        <c:pt idx="0">
                          <c:v>Elec. y Agua</c:v>
                        </c:pt>
                      </c15:dlblFieldTableCache>
                    </c15:dlblFTEntry>
                  </c15:dlblFieldTable>
                  <c15:showDataLabelsRange val="0"/>
                </c:ext>
                <c:ext xmlns:c16="http://schemas.microsoft.com/office/drawing/2014/chart" uri="{C3380CC4-5D6E-409C-BE32-E72D297353CC}">
                  <c16:uniqueId val="{00000003-8996-4845-A26D-CF54BAF0EB95}"/>
                </c:ext>
              </c:extLst>
            </c:dLbl>
            <c:dLbl>
              <c:idx val="4"/>
              <c:layout>
                <c:manualLayout>
                  <c:x val="-4.2725379926576386E-2"/>
                  <c:y val="-9.9894240450854405E-2"/>
                </c:manualLayout>
              </c:layout>
              <c:tx>
                <c:strRef>
                  <c:f>'Quintil 1 y 2'!$A$7</c:f>
                  <c:strCache>
                    <c:ptCount val="1"/>
                    <c:pt idx="0">
                      <c:v>Construcción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{78A9CBD9-6351-479F-83B3-490CD27DA9C8}</c15:txfldGUID>
                      <c15:f>'Quintil 1 y 2'!$A$7</c15:f>
                      <c15:dlblFieldTableCache>
                        <c:ptCount val="1"/>
                        <c:pt idx="0">
                          <c:v>Construcción</c:v>
                        </c:pt>
                      </c15:dlblFieldTableCache>
                    </c15:dlblFTEntry>
                  </c15:dlblFieldTable>
                  <c15:showDataLabelsRange val="0"/>
                </c:ext>
                <c:ext xmlns:c16="http://schemas.microsoft.com/office/drawing/2014/chart" uri="{C3380CC4-5D6E-409C-BE32-E72D297353CC}">
                  <c16:uniqueId val="{00000004-8996-4845-A26D-CF54BAF0EB95}"/>
                </c:ext>
              </c:extLst>
            </c:dLbl>
            <c:dLbl>
              <c:idx val="5"/>
              <c:layout>
                <c:manualLayout>
                  <c:x val="-0.1765399202982938"/>
                  <c:y val="9.5533956692913383E-2"/>
                </c:manualLayout>
              </c:layout>
              <c:tx>
                <c:strRef>
                  <c:f>'Quintil 1 y 2'!$A$8</c:f>
                  <c:strCache>
                    <c:ptCount val="1"/>
                    <c:pt idx="0">
                      <c:v>Comercio</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{D0EE9A39-9B31-4210-946F-EF2330C706FC}</c15:txfldGUID>
                      <c15:f>'Quintil 1 y 2'!$A$8</c15:f>
                      <c15:dlblFieldTableCache>
                        <c:ptCount val="1"/>
                        <c:pt idx="0">
                          <c:v>Comercio</c:v>
                        </c:pt>
                      </c15:dlblFieldTableCache>
                    </c15:dlblFTEntry>
                  </c15:dlblFieldTable>
                  <c15:showDataLabelsRange val="0"/>
                </c:ext>
                <c:ext xmlns:c16="http://schemas.microsoft.com/office/drawing/2014/chart" uri="{C3380CC4-5D6E-409C-BE32-E72D297353CC}">
                  <c16:uniqueId val="{00000005-8996-4845-A26D-CF54BAF0EB95}"/>
                </c:ext>
              </c:extLst>
            </c:dLbl>
            <c:dLbl>
              <c:idx val="6"/>
              <c:layout>
                <c:manualLayout>
                  <c:x val="4.9946739716705555E-3"/>
                  <c:y val="1.4114553528095097E-3"/>
                </c:manualLayout>
              </c:layout>
              <c:tx>
                <c:strRef>
                  <c:f>'Quintil 1 y 2'!$A$9</c:f>
                  <c:strCache>
                    <c:ptCount val="1"/>
                    <c:pt idx="0">
                      <c:v>Transporte</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{4673ACBC-41A9-4AF5-BF78-1FEBE8FB6D7B}</c15:txfldGUID>
                      <c15:f>'Quintil 1 y 2'!$A$9</c15:f>
                      <c15:dlblFieldTableCache>
                        <c:ptCount val="1"/>
                        <c:pt idx="0">
                          <c:v>Transporte</c:v>
                        </c:pt>
                      </c15:dlblFieldTableCache>
                    </c15:dlblFTEntry>
                  </c15:dlblFieldTable>
                  <c15:showDataLabelsRange val="0"/>
                </c:ext>
                <c:ext xmlns:c16="http://schemas.microsoft.com/office/drawing/2014/chart" uri="{C3380CC4-5D6E-409C-BE32-E72D297353CC}">
                  <c16:uniqueId val="{00000006-8996-4845-A26D-CF54BAF0EB95}"/>
                </c:ext>
              </c:extLst>
            </c:dLbl>
            <c:dLbl>
              <c:idx val="7"/>
              <c:layout>
                <c:manualLayout>
                  <c:x val="-0.10808377040274836"/>
                  <c:y val="9.7017363399952192E-2"/>
                </c:manualLayout>
              </c:layout>
              <c:tx>
                <c:strRef>
                  <c:f>'Quintil 1 y 2'!$A$10</c:f>
                  <c:strCache>
                    <c:ptCount val="1"/>
                    <c:pt idx="0">
                      <c:v>Aloja. y rest.</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{1784D79F-0C09-49D5-8D6C-565DE48CDD89}</c15:txfldGUID>
                      <c15:f>'Quintil 1 y 2'!$A$10</c15:f>
                      <c15:dlblFieldTableCache>
                        <c:ptCount val="1"/>
                        <c:pt idx="0">
                          <c:v>Aloja. y rest.</c:v>
                        </c:pt>
                      </c15:dlblFieldTableCache>
                    </c15:dlblFTEntry>
                  </c15:dlblFieldTable>
                  <c15:showDataLabelsRange val="0"/>
                </c:ext>
                <c:ext xmlns:c16="http://schemas.microsoft.com/office/drawing/2014/chart" uri="{C3380CC4-5D6E-409C-BE32-E72D297353CC}">
                  <c16:uniqueId val="{00000007-8996-4845-A26D-CF54BAF0EB95}"/>
                </c:ext>
              </c:extLst>
            </c:dLbl>
            <c:dLbl>
              <c:idx val="8"/>
              <c:layout>
                <c:manualLayout>
                  <c:x val="-4.4585305398561953E-2"/>
                  <c:y val="-7.9379127508255015E-2"/>
                </c:manualLayout>
              </c:layout>
              <c:tx>
                <c:strRef>
                  <c:f>'Quintil 1 y 2'!$A$11</c:f>
                  <c:strCache>
                    <c:ptCount val="1"/>
                    <c:pt idx="0">
                      <c:v>Infor. y comun.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{344B49D3-489D-4BAC-9DAF-27D56AA77F02}</c15:txfldGUID>
                      <c15:f>'Quintil 1 y 2'!$A$11</c15:f>
                      <c15:dlblFieldTableCache>
                        <c:ptCount val="1"/>
                        <c:pt idx="0">
                          <c:v>Infor. y comun.</c:v>
                        </c:pt>
                      </c15:dlblFieldTableCache>
                    </c15:dlblFTEntry>
                  </c15:dlblFieldTable>
                  <c15:showDataLabelsRange val="0"/>
                </c:ext>
                <c:ext xmlns:c16="http://schemas.microsoft.com/office/drawing/2014/chart" uri="{C3380CC4-5D6E-409C-BE32-E72D297353CC}">
                  <c16:uniqueId val="{00000008-8996-4845-A26D-CF54BAF0EB95}"/>
                </c:ext>
              </c:extLst>
            </c:dLbl>
            <c:dLbl>
              <c:idx val="9"/>
              <c:layout>
                <c:manualLayout>
                  <c:x val="-0.14613681770104381"/>
                  <c:y val="-0.1651471615443231"/>
                </c:manualLayout>
              </c:layout>
              <c:tx>
                <c:strRef>
                  <c:f>'Quintil 1 y 2'!$A$12</c:f>
                  <c:strCache>
                    <c:ptCount val="1"/>
                    <c:pt idx="0">
                      <c:v>Act. Financieras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{C14C5730-2E6A-43A0-AF0A-36F2BA09CCDB}</c15:txfldGUID>
                      <c15:f>'Quintil 1 y 2'!$A$12</c15:f>
                      <c15:dlblFieldTableCache>
                        <c:ptCount val="1"/>
                        <c:pt idx="0">
                          <c:v>Act. Financieras</c:v>
                        </c:pt>
                      </c15:dlblFieldTableCache>
                    </c15:dlblFTEntry>
                  </c15:dlblFieldTable>
                  <c15:showDataLabelsRange val="0"/>
                </c:ext>
                <c:ext xmlns:c16="http://schemas.microsoft.com/office/drawing/2014/chart" uri="{C3380CC4-5D6E-409C-BE32-E72D297353CC}">
                  <c16:uniqueId val="{00000009-8996-4845-A26D-CF54BAF0EB95}"/>
                </c:ext>
              </c:extLst>
            </c:dLbl>
            <c:dLbl>
              <c:idx val="10"/>
              <c:layout>
                <c:manualLayout>
                  <c:x val="-0.10515571141625957"/>
                  <c:y val="-5.2545835174467037E-2"/>
                </c:manualLayout>
              </c:layout>
              <c:tx>
                <c:strRef>
                  <c:f>'Quintil 1 y 2'!$A$13</c:f>
                  <c:strCache>
                    <c:ptCount val="1"/>
                    <c:pt idx="0">
                      <c:v>Act. Inmob.</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{788D076E-9CFA-45FC-91A5-E84FBDCBAB25}</c15:txfldGUID>
                      <c15:f>'Quintil 1 y 2'!$A$13</c15:f>
                      <c15:dlblFieldTableCache>
                        <c:ptCount val="1"/>
                        <c:pt idx="0">
                          <c:v>Act. Inmob.</c:v>
                        </c:pt>
                      </c15:dlblFieldTableCache>
                    </c15:dlblFTEntry>
                  </c15:dlblFieldTable>
                  <c15:showDataLabelsRange val="0"/>
                </c:ext>
                <c:ext xmlns:c16="http://schemas.microsoft.com/office/drawing/2014/chart" uri="{C3380CC4-5D6E-409C-BE32-E72D297353CC}">
                  <c16:uniqueId val="{0000000A-8996-4845-A26D-CF54BAF0EB95}"/>
                </c:ext>
              </c:extLst>
            </c:dLbl>
            <c:dLbl>
              <c:idx val="11"/>
              <c:layout>
                <c:manualLayout>
                  <c:x val="-0.20178976271114007"/>
                  <c:y val="-6.613657289814584E-2"/>
                </c:manualLayout>
              </c:layout>
              <c:tx>
                <c:strRef>
                  <c:f>'Quintil 1 y 2'!$A$14</c:f>
                  <c:strCache>
                    <c:ptCount val="1"/>
                    <c:pt idx="0">
                      <c:v>Act. Profesionales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{70070A37-7BBC-4E9F-8FD0-8195F4A608E0}</c15:txfldGUID>
                      <c15:f>'Quintil 1 y 2'!$A$14</c15:f>
                      <c15:dlblFieldTableCache>
                        <c:ptCount val="1"/>
                        <c:pt idx="0">
                          <c:v>Act. Profesionales</c:v>
                        </c:pt>
                      </c15:dlblFieldTableCache>
                    </c15:dlblFTEntry>
                  </c15:dlblFieldTable>
                  <c15:showDataLabelsRange val="0"/>
                </c:ext>
                <c:ext xmlns:c16="http://schemas.microsoft.com/office/drawing/2014/chart" uri="{C3380CC4-5D6E-409C-BE32-E72D297353CC}">
                  <c16:uniqueId val="{0000000B-8996-4845-A26D-CF54BAF0EB95}"/>
                </c:ext>
              </c:extLst>
            </c:dLbl>
            <c:dLbl>
              <c:idx val="12"/>
              <c:layout>
                <c:manualLayout>
                  <c:x val="-0.13115759783758371"/>
                  <c:y val="-0.11199120523241046"/>
                </c:manualLayout>
              </c:layout>
              <c:tx>
                <c:strRef>
                  <c:f>'Quintil 1 y 2'!$A$15</c:f>
                  <c:strCache>
                    <c:ptCount val="1"/>
                    <c:pt idx="0">
                      <c:v>Serv. Admin.</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{786BFE76-996A-45E6-BED9-0AEA8698264F}</c15:txfldGUID>
                      <c15:f>'Quintil 1 y 2'!$A$15</c15:f>
                      <c15:dlblFieldTableCache>
                        <c:ptCount val="1"/>
                        <c:pt idx="0">
                          <c:v>Serv. Admin.</c:v>
                        </c:pt>
                      </c15:dlblFieldTableCache>
                    </c15:dlblFTEntry>
                  </c15:dlblFieldTable>
                  <c15:showDataLabelsRange val="0"/>
                </c:ext>
                <c:ext xmlns:c16="http://schemas.microsoft.com/office/drawing/2014/chart" uri="{C3380CC4-5D6E-409C-BE32-E72D297353CC}">
                  <c16:uniqueId val="{0000000C-8996-4845-A26D-CF54BAF0EB95}"/>
                </c:ext>
              </c:extLst>
            </c:dLbl>
            <c:dLbl>
              <c:idx val="13"/>
              <c:layout>
                <c:manualLayout>
                  <c:x val="-7.4745456682229455E-2"/>
                  <c:y val="-7.2948152146304304E-2"/>
                </c:manualLayout>
              </c:layout>
              <c:tx>
                <c:strRef>
                  <c:f>'Quintil 1 y 2'!$A$16</c:f>
                  <c:strCache>
                    <c:ptCount val="1"/>
                    <c:pt idx="0">
                      <c:v>Adm. Pública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{6E08B35F-75E6-4DB5-A3B4-36A5FFF89E3F}</c15:txfldGUID>
                      <c15:f>'Quintil 1 y 2'!$A$16</c15:f>
                      <c15:dlblFieldTableCache>
                        <c:ptCount val="1"/>
                        <c:pt idx="0">
                          <c:v>Adm. Pública</c:v>
                        </c:pt>
                      </c15:dlblFieldTableCache>
                    </c15:dlblFTEntry>
                  </c15:dlblFieldTable>
                  <c15:showDataLabelsRange val="0"/>
                </c:ext>
                <c:ext xmlns:c16="http://schemas.microsoft.com/office/drawing/2014/chart" uri="{C3380CC4-5D6E-409C-BE32-E72D297353CC}">
                  <c16:uniqueId val="{0000000D-8996-4845-A26D-CF54BAF0EB95}"/>
                </c:ext>
              </c:extLst>
            </c:dLbl>
            <c:dLbl>
              <c:idx val="14"/>
              <c:layout>
                <c:manualLayout>
                  <c:x val="-4.51852123935036E-3"/>
                  <c:y val="-4.2883686227354056E-2"/>
                </c:manualLayout>
              </c:layout>
              <c:tx>
                <c:strRef>
                  <c:f>'Quintil 1 y 2'!$A$17</c:f>
                  <c:strCache>
                    <c:ptCount val="1"/>
                    <c:pt idx="0">
                      <c:v>Enseñanza privada</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{32082336-2513-406D-9A0B-9AF6EB4A92AC}</c15:txfldGUID>
                      <c15:f>'Quintil 1 y 2'!$A$17</c15:f>
                      <c15:dlblFieldTableCache>
                        <c:ptCount val="1"/>
                        <c:pt idx="0">
                          <c:v>Enseñanza privada</c:v>
                        </c:pt>
                      </c15:dlblFieldTableCache>
                    </c15:dlblFTEntry>
                  </c15:dlblFieldTable>
                  <c15:showDataLabelsRange val="0"/>
                </c:ext>
                <c:ext xmlns:c16="http://schemas.microsoft.com/office/drawing/2014/chart" uri="{C3380CC4-5D6E-409C-BE32-E72D297353CC}">
                  <c16:uniqueId val="{0000000E-8996-4845-A26D-CF54BAF0EB95}"/>
                </c:ext>
              </c:extLst>
            </c:dLbl>
            <c:dLbl>
              <c:idx val="15"/>
              <c:layout>
                <c:manualLayout>
                  <c:x val="-5.0966514650927656E-2"/>
                  <c:y val="-8.0559076849524416E-2"/>
                </c:manualLayout>
              </c:layout>
              <c:tx>
                <c:strRef>
                  <c:f>'Quintil 1 y 2'!$A$18</c:f>
                  <c:strCache>
                    <c:ptCount val="1"/>
                    <c:pt idx="0">
                      <c:v>Salud</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{D5DB98BA-A047-43C4-9873-319C769C0774}</c15:txfldGUID>
                      <c15:f>'Quintil 1 y 2'!$A$18</c15:f>
                      <c15:dlblFieldTableCache>
                        <c:ptCount val="1"/>
                        <c:pt idx="0">
                          <c:v>Salud</c:v>
                        </c:pt>
                      </c15:dlblFieldTableCache>
                    </c15:dlblFTEntry>
                  </c15:dlblFieldTable>
                  <c15:showDataLabelsRange val="0"/>
                </c:ext>
                <c:ext xmlns:c16="http://schemas.microsoft.com/office/drawing/2014/chart" uri="{C3380CC4-5D6E-409C-BE32-E72D297353CC}">
                  <c16:uniqueId val="{0000000F-8996-4845-A26D-CF54BAF0EB95}"/>
                </c:ext>
              </c:extLst>
            </c:dLbl>
            <c:dLbl>
              <c:idx val="16"/>
              <c:layout>
                <c:manualLayout>
                  <c:x val="-2.5579119435036698E-2"/>
                  <c:y val="7.4884509144018202E-2"/>
                </c:manualLayout>
              </c:layout>
              <c:tx>
                <c:strRef>
                  <c:f>'Quintil 1 y 2'!$A$19</c:f>
                  <c:strCache>
                    <c:ptCount val="1"/>
                    <c:pt idx="0">
                      <c:v>Otros servicios</c:v>
                    </c:pt>
                  </c:strCache>
                </c:strRef>
              </c:tx>
              <c:dLblPos val="r"/>
              <c:showLegendKey val="0"/>
              <c:showVal val="1"/>
              <c:showCatName val="0"/>
              <c:showSerName val="0"/>
              <c:showPercent val="0"/>
              <c:showBubbleSize val="0"/>
              <c:extLst>
                <c:ext xmlns:c15="http://schemas.microsoft.com/office/drawing/2012/chart" uri="{CE6537A1-D6FC-4f65-9D91-7224C49458BB}">
                  <c15:dlblFieldTable>
                    <c15:dlblFTEntry>
                      <c15:txfldGUID>{C349AF62-494D-4758-B6CC-F495EA7796C2}</c15:txfldGUID>
                      <c15:f>'Quintil 1 y 2'!$A$19</c15:f>
                      <c15:dlblFieldTableCache>
                        <c:ptCount val="1"/>
                        <c:pt idx="0">
                          <c:v>Otros servicios</c:v>
                        </c:pt>
                      </c15:dlblFieldTableCache>
                    </c15:dlblFTEntry>
                  </c15:dlblFieldTable>
                  <c15:showDataLabelsRange val="0"/>
                </c:ext>
                <c:ext xmlns:c16="http://schemas.microsoft.com/office/drawing/2014/chart" uri="{C3380CC4-5D6E-409C-BE32-E72D297353CC}">
                  <c16:uniqueId val="{00000010-8996-4845-A26D-CF54BAF0EB95}"/>
                </c:ext>
              </c:extLst>
            </c:dLbl>
            <c:dLbl>
              <c:idx val="17"/>
              <c:tx>
                <c:strRef>
                  <c:f>'Quintil 1 y 2'!$A$20</c:f>
                  <c:strCache>
                    <c:ptCount val="1"/>
                    <c:pt idx="0">
                      <c:v>Act. org. y órganos extra.</c:v>
                    </c:pt>
                  </c:strCache>
                </c:strRef>
              </c:tx>
              <c:spPr>
                <a:noFill/>
                <a:ln w="25400">
                  <a:noFill/>
                </a:ln>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Calibri Light" panose="020F0302020204030204" pitchFamily="34" charset="0"/>
                      <a:ea typeface="+mn-ea"/>
                      <a:cs typeface="+mn-cs"/>
                    </a:defRPr>
                  </a:pPr>
                  <a:endParaRPr lang="es-PE"/>
                </a:p>
              </c:txPr>
              <c:dLblPos val="t"/>
              <c:showLegendKey val="0"/>
              <c:showVal val="1"/>
              <c:showCatName val="0"/>
              <c:showSerName val="0"/>
              <c:showPercent val="0"/>
              <c:showBubbleSize val="0"/>
              <c:extLst>
                <c:ext xmlns:c15="http://schemas.microsoft.com/office/drawing/2012/chart" uri="{CE6537A1-D6FC-4f65-9D91-7224C49458BB}">
                  <c15:dlblFieldTable>
                    <c15:dlblFTEntry>
                      <c15:txfldGUID>{C5A266F8-FC91-47DF-87FC-ABDD7B827A56}</c15:txfldGUID>
                      <c15:f>'Quintil 1 y 2'!$A$20</c15:f>
                      <c15:dlblFieldTableCache>
                        <c:ptCount val="1"/>
                        <c:pt idx="0">
                          <c:v>Act. org. y órganos extra.</c:v>
                        </c:pt>
                      </c15:dlblFieldTableCache>
                    </c15:dlblFTEntry>
                  </c15:dlblFieldTable>
                  <c15:showDataLabelsRange val="0"/>
                </c:ext>
                <c:ext xmlns:c16="http://schemas.microsoft.com/office/drawing/2014/chart" uri="{C3380CC4-5D6E-409C-BE32-E72D297353CC}">
                  <c16:uniqueId val="{00000011-8996-4845-A26D-CF54BAF0EB95}"/>
                </c:ext>
              </c:extLst>
            </c:dLbl>
            <c:spPr>
              <a:noFill/>
              <a:ln w="25400">
                <a:noFill/>
              </a:ln>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j-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a:solidFill>
                        <a:schemeClr val="bg1">
                          <a:lumMod val="50000"/>
                        </a:schemeClr>
                      </a:solidFill>
                    </a:ln>
                  </c:spPr>
                </c15:leaderLines>
              </c:ext>
            </c:extLst>
          </c:dLbls>
          <c:xVal>
            <c:numRef>
              <c:f>'Quintil 1 y 2'!$C$3:$C$20</c:f>
              <c:numCache>
                <c:formatCode>0.0</c:formatCode>
                <c:ptCount val="18"/>
                <c:pt idx="0">
                  <c:v>47.657025857903591</c:v>
                </c:pt>
                <c:pt idx="1">
                  <c:v>67.548138238584656</c:v>
                </c:pt>
                <c:pt idx="2">
                  <c:v>56.625624338481742</c:v>
                </c:pt>
                <c:pt idx="3">
                  <c:v>54.438786567988842</c:v>
                </c:pt>
                <c:pt idx="4">
                  <c:v>66.111726675983888</c:v>
                </c:pt>
                <c:pt idx="5">
                  <c:v>55.571138735562045</c:v>
                </c:pt>
                <c:pt idx="6">
                  <c:v>61.254333461174852</c:v>
                </c:pt>
                <c:pt idx="7">
                  <c:v>75.418923381344683</c:v>
                </c:pt>
                <c:pt idx="8">
                  <c:v>58.134312552862433</c:v>
                </c:pt>
                <c:pt idx="9">
                  <c:v>55.699685455508948</c:v>
                </c:pt>
                <c:pt idx="10">
                  <c:v>50</c:v>
                </c:pt>
                <c:pt idx="11">
                  <c:v>52.98970536398388</c:v>
                </c:pt>
                <c:pt idx="12">
                  <c:v>53.08012351433738</c:v>
                </c:pt>
                <c:pt idx="13">
                  <c:v>59.859653933170115</c:v>
                </c:pt>
                <c:pt idx="14">
                  <c:v>64.90014213891358</c:v>
                </c:pt>
                <c:pt idx="15">
                  <c:v>74.737241710702435</c:v>
                </c:pt>
                <c:pt idx="16">
                  <c:v>61.759554181852266</c:v>
                </c:pt>
              </c:numCache>
            </c:numRef>
          </c:xVal>
          <c:yVal>
            <c:numRef>
              <c:f>'Quintil 1 y 2'!$E$3:$E$20</c:f>
              <c:numCache>
                <c:formatCode>0.00</c:formatCode>
                <c:ptCount val="18"/>
                <c:pt idx="0">
                  <c:v>0.84713930770600376</c:v>
                </c:pt>
                <c:pt idx="1">
                  <c:v>2.5178611682282908</c:v>
                </c:pt>
                <c:pt idx="2">
                  <c:v>0.86368594059471782</c:v>
                </c:pt>
                <c:pt idx="3">
                  <c:v>0.29836589227055488</c:v>
                </c:pt>
                <c:pt idx="4">
                  <c:v>1.4649055635996635</c:v>
                </c:pt>
                <c:pt idx="5">
                  <c:v>0.92477933230815934</c:v>
                </c:pt>
                <c:pt idx="6">
                  <c:v>1.1400507245551748</c:v>
                </c:pt>
                <c:pt idx="7">
                  <c:v>0.75726240293776892</c:v>
                </c:pt>
                <c:pt idx="8">
                  <c:v>1.1758810916857187</c:v>
                </c:pt>
                <c:pt idx="9">
                  <c:v>1.2612918947355252</c:v>
                </c:pt>
                <c:pt idx="10">
                  <c:v>2.5694101840686088</c:v>
                </c:pt>
                <c:pt idx="11">
                  <c:v>1.1176680996311013</c:v>
                </c:pt>
                <c:pt idx="12">
                  <c:v>1.2337032544650581</c:v>
                </c:pt>
                <c:pt idx="13">
                  <c:v>1.8125137190237033</c:v>
                </c:pt>
                <c:pt idx="14">
                  <c:v>2.036567793556264</c:v>
                </c:pt>
                <c:pt idx="15">
                  <c:v>1.612563491223524</c:v>
                </c:pt>
                <c:pt idx="16">
                  <c:v>0.74181712729250293</c:v>
                </c:pt>
              </c:numCache>
            </c:numRef>
          </c:yVal>
          <c:bubbleSize>
            <c:numRef>
              <c:f>'Quintil 1 y 2'!$G$3:$G$20</c:f>
              <c:numCache>
                <c:formatCode>0.00%</c:formatCode>
                <c:ptCount val="18"/>
                <c:pt idx="0">
                  <c:v>0.31695502232247946</c:v>
                </c:pt>
                <c:pt idx="1">
                  <c:v>9.1798929311001018E-3</c:v>
                </c:pt>
                <c:pt idx="2">
                  <c:v>7.9771042311042387E-2</c:v>
                </c:pt>
                <c:pt idx="3">
                  <c:v>9.0465480031766774E-3</c:v>
                </c:pt>
                <c:pt idx="4">
                  <c:v>6.0568692485848501E-2</c:v>
                </c:pt>
                <c:pt idx="5">
                  <c:v>0.22956862330902114</c:v>
                </c:pt>
                <c:pt idx="6">
                  <c:v>7.6601824629017962E-2</c:v>
                </c:pt>
                <c:pt idx="7">
                  <c:v>6.3564583459165575E-2</c:v>
                </c:pt>
                <c:pt idx="8">
                  <c:v>6.0216011705240277E-3</c:v>
                </c:pt>
                <c:pt idx="9">
                  <c:v>1.4495531319755547E-3</c:v>
                </c:pt>
                <c:pt idx="10">
                  <c:v>1.2344293054073678E-4</c:v>
                </c:pt>
                <c:pt idx="11">
                  <c:v>3.4830216408683729E-3</c:v>
                </c:pt>
                <c:pt idx="12">
                  <c:v>1.9667522911141606E-2</c:v>
                </c:pt>
                <c:pt idx="13">
                  <c:v>2.4437286957062758E-2</c:v>
                </c:pt>
                <c:pt idx="14">
                  <c:v>1.9456613371753195E-2</c:v>
                </c:pt>
                <c:pt idx="15">
                  <c:v>1.1159362146259238E-2</c:v>
                </c:pt>
                <c:pt idx="16">
                  <c:v>6.894536628902273E-2</c:v>
                </c:pt>
                <c:pt idx="17">
                  <c:v>0</c:v>
                </c:pt>
              </c:numCache>
            </c:numRef>
          </c:bubbleSize>
          <c:bubble3D val="0"/>
          <c:extLst>
            <c:ext xmlns:c16="http://schemas.microsoft.com/office/drawing/2014/chart" uri="{C3380CC4-5D6E-409C-BE32-E72D297353CC}">
              <c16:uniqueId val="{00000012-8996-4845-A26D-CF54BAF0EB95}"/>
            </c:ext>
          </c:extLst>
        </c:ser>
        <c:dLbls>
          <c:showLegendKey val="0"/>
          <c:showVal val="0"/>
          <c:showCatName val="0"/>
          <c:showSerName val="0"/>
          <c:showPercent val="0"/>
          <c:showBubbleSize val="0"/>
        </c:dLbls>
        <c:bubbleScale val="70"/>
        <c:showNegBubbles val="0"/>
        <c:axId val="379065824"/>
        <c:axId val="1"/>
      </c:bubbleChart>
      <c:valAx>
        <c:axId val="379065824"/>
        <c:scaling>
          <c:orientation val="minMax"/>
          <c:max val="80"/>
          <c:min val="45"/>
        </c:scaling>
        <c:delete val="0"/>
        <c:axPos val="b"/>
        <c:title>
          <c:tx>
            <c:rich>
              <a:bodyPr/>
              <a:lstStyle/>
              <a:p>
                <a:pPr>
                  <a:defRPr/>
                </a:pPr>
                <a:r>
                  <a:rPr lang="es-PE" b="0"/>
                  <a:t>Índice de proximidad</a:t>
                </a:r>
              </a:p>
            </c:rich>
          </c:tx>
          <c:overlay val="0"/>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0" vert="horz"/>
          <a:lstStyle/>
          <a:p>
            <a:pPr>
              <a:defRPr sz="700" b="0" i="0" u="none" strike="noStrike" baseline="0">
                <a:solidFill>
                  <a:srgbClr val="333333"/>
                </a:solidFill>
                <a:latin typeface="Calibri Light"/>
                <a:ea typeface="Calibri Light"/>
                <a:cs typeface="Calibri Light"/>
              </a:defRPr>
            </a:pPr>
            <a:endParaRPr lang="es-PE"/>
          </a:p>
        </c:txPr>
        <c:crossAx val="1"/>
        <c:crosses val="autoZero"/>
        <c:crossBetween val="midCat"/>
      </c:valAx>
      <c:valAx>
        <c:axId val="1"/>
        <c:scaling>
          <c:orientation val="minMax"/>
          <c:max val="2.2999999999999998"/>
          <c:min val="0"/>
        </c:scaling>
        <c:delete val="0"/>
        <c:axPos val="l"/>
        <c:title>
          <c:tx>
            <c:rich>
              <a:bodyPr/>
              <a:lstStyle/>
              <a:p>
                <a:pPr>
                  <a:defRPr/>
                </a:pPr>
                <a:r>
                  <a:rPr lang="es-PE" b="0">
                    <a:latin typeface="+mj-lt"/>
                  </a:rPr>
                  <a:t>Ingre</a:t>
                </a:r>
                <a:r>
                  <a:rPr lang="es-PE" b="0" baseline="0">
                    <a:latin typeface="+mj-lt"/>
                  </a:rPr>
                  <a:t>so Bruto Mensual Promedio</a:t>
                </a:r>
                <a:endParaRPr lang="es-PE" b="0">
                  <a:latin typeface="+mj-lt"/>
                </a:endParaRPr>
              </a:p>
            </c:rich>
          </c:tx>
          <c:overlay val="0"/>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j-lt"/>
                <a:ea typeface="+mn-ea"/>
                <a:cs typeface="+mn-cs"/>
              </a:defRPr>
            </a:pPr>
            <a:endParaRPr lang="es-PE"/>
          </a:p>
        </c:txPr>
        <c:crossAx val="379065824"/>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mj-lt"/>
        </a:defRPr>
      </a:pPr>
      <a:endParaRPr lang="es-PE"/>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0.11707</cdr:x>
      <cdr:y>0.58437</cdr:y>
    </cdr:from>
    <cdr:to>
      <cdr:x>0.93427</cdr:x>
      <cdr:y>0.58437</cdr:y>
    </cdr:to>
    <cdr:cxnSp macro="">
      <cdr:nvCxnSpPr>
        <cdr:cNvPr id="3" name="Conector recto 2">
          <a:extLst xmlns:a="http://schemas.openxmlformats.org/drawingml/2006/main">
            <a:ext uri="{FF2B5EF4-FFF2-40B4-BE49-F238E27FC236}">
              <a16:creationId xmlns:a16="http://schemas.microsoft.com/office/drawing/2014/main" id="{4B7A71E9-B7B7-4B8D-9AB0-A39994712357}"/>
            </a:ext>
          </a:extLst>
        </cdr:cNvPr>
        <cdr:cNvCxnSpPr/>
      </cdr:nvCxnSpPr>
      <cdr:spPr>
        <a:xfrm xmlns:a="http://schemas.openxmlformats.org/drawingml/2006/main" flipH="1">
          <a:off x="547860" y="1472425"/>
          <a:ext cx="3824455" cy="0"/>
        </a:xfrm>
        <a:prstGeom xmlns:a="http://schemas.openxmlformats.org/drawingml/2006/main" prst="line">
          <a:avLst/>
        </a:prstGeom>
        <a:ln xmlns:a="http://schemas.openxmlformats.org/drawingml/2006/main">
          <a:solidFill>
            <a:schemeClr val="bg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0.49658</cdr:x>
      <cdr:y>0.05597</cdr:y>
    </cdr:from>
    <cdr:to>
      <cdr:x>0.49658</cdr:x>
      <cdr:y>0.79586</cdr:y>
    </cdr:to>
    <cdr:cxnSp macro="">
      <cdr:nvCxnSpPr>
        <cdr:cNvPr id="7" name="Conector recto 6"/>
        <cdr:cNvCxnSpPr/>
      </cdr:nvCxnSpPr>
      <cdr:spPr>
        <a:xfrm xmlns:a="http://schemas.openxmlformats.org/drawingml/2006/main" flipV="1">
          <a:off x="2323976" y="141026"/>
          <a:ext cx="0" cy="1864287"/>
        </a:xfrm>
        <a:prstGeom xmlns:a="http://schemas.openxmlformats.org/drawingml/2006/main" prst="line">
          <a:avLst/>
        </a:prstGeom>
        <a:ln xmlns:a="http://schemas.openxmlformats.org/drawingml/2006/main">
          <a:solidFill>
            <a:schemeClr val="bg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0.09536</cdr:x>
      <cdr:y>0.50438</cdr:y>
    </cdr:from>
    <cdr:to>
      <cdr:x>0.95498</cdr:x>
      <cdr:y>0.50438</cdr:y>
    </cdr:to>
    <cdr:cxnSp macro="">
      <cdr:nvCxnSpPr>
        <cdr:cNvPr id="3" name="Conector recto 2">
          <a:extLst xmlns:a="http://schemas.openxmlformats.org/drawingml/2006/main">
            <a:ext uri="{FF2B5EF4-FFF2-40B4-BE49-F238E27FC236}">
              <a16:creationId xmlns:a16="http://schemas.microsoft.com/office/drawing/2014/main" id="{F629F50E-1385-4BC7-A294-0C82CB52144E}"/>
            </a:ext>
          </a:extLst>
        </cdr:cNvPr>
        <cdr:cNvCxnSpPr/>
      </cdr:nvCxnSpPr>
      <cdr:spPr>
        <a:xfrm xmlns:a="http://schemas.openxmlformats.org/drawingml/2006/main">
          <a:off x="446259" y="1270876"/>
          <a:ext cx="4022979" cy="0"/>
        </a:xfrm>
        <a:prstGeom xmlns:a="http://schemas.openxmlformats.org/drawingml/2006/main" prst="line">
          <a:avLst/>
        </a:prstGeom>
        <a:ln xmlns:a="http://schemas.openxmlformats.org/drawingml/2006/main">
          <a:solidFill>
            <a:schemeClr val="bg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0.39123</cdr:x>
      <cdr:y>0.03943</cdr:y>
    </cdr:from>
    <cdr:to>
      <cdr:x>0.39123</cdr:x>
      <cdr:y>0.87366</cdr:y>
    </cdr:to>
    <cdr:cxnSp macro="">
      <cdr:nvCxnSpPr>
        <cdr:cNvPr id="5" name="Conector recto 4">
          <a:extLst xmlns:a="http://schemas.openxmlformats.org/drawingml/2006/main">
            <a:ext uri="{FF2B5EF4-FFF2-40B4-BE49-F238E27FC236}">
              <a16:creationId xmlns:a16="http://schemas.microsoft.com/office/drawing/2014/main" id="{51E587E4-C4FD-4725-9DB3-736F9DC37E2A}"/>
            </a:ext>
          </a:extLst>
        </cdr:cNvPr>
        <cdr:cNvCxnSpPr/>
      </cdr:nvCxnSpPr>
      <cdr:spPr>
        <a:xfrm xmlns:a="http://schemas.openxmlformats.org/drawingml/2006/main" flipV="1">
          <a:off x="1830938" y="99350"/>
          <a:ext cx="0" cy="2101993"/>
        </a:xfrm>
        <a:prstGeom xmlns:a="http://schemas.openxmlformats.org/drawingml/2006/main" prst="line">
          <a:avLst/>
        </a:prstGeom>
        <a:ln xmlns:a="http://schemas.openxmlformats.org/drawingml/2006/main">
          <a:solidFill>
            <a:schemeClr val="bg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C5726-D272-4CAC-8D43-4BB77B82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4</Pages>
  <Words>1837</Words>
  <Characters>10108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Rodrigo Sánchez Navarro</dc:creator>
  <cp:keywords/>
  <dc:description/>
  <cp:lastModifiedBy>David Rodrigo Sanchez Navarro</cp:lastModifiedBy>
  <cp:revision>592</cp:revision>
  <cp:lastPrinted>2020-07-25T00:32:00Z</cp:lastPrinted>
  <dcterms:created xsi:type="dcterms:W3CDTF">2020-05-16T07:35:00Z</dcterms:created>
  <dcterms:modified xsi:type="dcterms:W3CDTF">2020-07-26T00:00:00Z</dcterms:modified>
</cp:coreProperties>
</file>