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UVA Foreign Gifts Analysis</w:t>
      </w:r>
    </w:p>
    <w:p>
      <w:pPr>
        <w:spacing w:after="300"/>
      </w:pPr>
      <w:r>
        <w:rPr>
          <w:i/>
          <w:iCs/>
        </w:rPr>
        <w:t xml:space="preserve">Fiona St. Clair</w:t>
      </w:r>
    </w:p>
    <w:p>
      <w:pPr>
        <w:pStyle w:val="Heading1"/>
      </w:pPr>
      <w:r>
        <w:t xml:space="preserve">Executive Summary</w:t>
      </w:r>
    </w:p>
    <w:p>
      <w:r>
        <w:t xml:space="preserve">UVA only pulls in $22.2 million out of the $16.6 billion total foreign gift “market” (0.134%), putting it dead last among the 8 peer schools compared, some of which raise over $280 million. My recommendation is UVA should target countries that already give big to peer schools but give little or nothing to UVA, especially China, Saudi Arabia, Germany, Canada, and Hong Kong, since those relationships are proven to work elsewhere and just haven’t been built at UVA yet.</w:t>
      </w:r>
    </w:p>
    <w:p>
      <w:pPr>
        <w:pStyle w:val="Heading1"/>
      </w:pPr>
      <w:r>
        <w:t xml:space="preserve">Summary of Initial Analysis and UVA Giving</w:t>
      </w:r>
    </w:p>
    <w:p>
      <w:r>
        <w:t xml:space="preserve">UVA has 98 total gifts adding up to $22,189,238, with an average gift of $226,420.80 but a median of only $80,535.50, meaning a few bigger gifts are pulling the average up while most gifts are actually pretty modest. UVA's top countries are Bangladesh ($4.23M), Sweden ($4.01M), and Tanzania ($2.78M), which is a little surprising since none of those are big players in the overall market. UVA also leans more on Contracts ($14.8M) than Monetary Gifts ($7.38M).</w:t>
      </w:r>
    </w:p>
    <w:p>
      <w:r>
        <w:t xml:space="preserve">Compared to peers, UVA isn't just behind, it's last out of 9 schools, and not close – even the lowest peer (UNC Chapel Hill, $41.3M) raises almost double what UVA raises. Looking at the overall dataset, giving is really concentrated at the top: Qatar alone accounts for over $2.7 billion in total gifts, and a handful of schools (Carnegie Mellon, Cornell, Harvard, MIT) soak up most of the money, mostly through Contracts rather than straight Monetary Gifts. Contracts are also the most common gift type overall (17,274 of them, $10.8 billion total), followed by Monetary Gifts (10,936 gifts, $5.78 billion), while Real Estate gifts are rare (only 11) but large on average.</w:t>
      </w:r>
    </w:p>
    <w:p>
      <w:pPr>
        <w:pStyle w:val="Heading1"/>
      </w:pPr>
      <w:r>
        <w:t xml:space="preserve">Strategy for Finding New Sources of Money</w:t>
      </w:r>
    </w:p>
    <w:p>
      <w:r>
        <w:t xml:space="preserve">The clearest strategy is targeting countries that clearly give a lot to peer schools but give UVA nothing. China stands out most: peers pulled in $111M combined while UVA got $0. Same story with Saudi Arabia ($71.4M to peers, $0 to UVA), Germany ($70.1M, $0), Canada ($59.1M, $0), and Hong Kong ($52.4M, $0). These countries already trust similar institutions, so it's not unproven territory, just an unbuilt relationship.</w:t>
      </w:r>
    </w:p>
    <w:p>
      <w:r>
        <w:t xml:space="preserve">There's also a second tier where UVA has some presence but way underperforms, like England (UVA has $1.95M vs a peer average over $20M) and Japan (UVA has $265,970 vs a peer average near $15M), which might actually be easier to grow since some foothold already exists. I'd prioritize China, Saudi Arabia, Germany, Canada, and Hong Kong first since there's zero current relationship and huge upside, then England, Japan, and Switzerland second since UVA already has a foothold there worth building on.</w:t>
      </w:r>
    </w:p>
    <w:p>
      <w:pPr>
        <w:pStyle w:val="Heading1"/>
      </w:pPr>
      <w:r>
        <w:t xml:space="preserve">Conclusion</w:t>
      </w:r>
    </w:p>
    <w:p>
      <w:r>
        <w:t xml:space="preserve">UVA's foreign giving is small compared to where it could be, but that's actually good news, since peer schools prove there's real money in countries UVA hasn't tapped at all. If UVA focuses on the specific gap countries identified here instead of spreading efforts evenly, there's a real path to closing part of that nearly $120 million gap with the average peer school.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2026-09-02T01:03:31.895Z</dcterms:created>
  <dcterms:modified xsi:type="dcterms:W3CDTF">2026-09-02T01:03:31.910Z</dcterms:modified>
</cp:coreProperties>
</file>

<file path=docProps/custom.xml><?xml version="1.0" encoding="utf-8"?>
<Properties xmlns="http://schemas.openxmlformats.org/officeDocument/2006/custom-properties" xmlns:vt="http://schemas.openxmlformats.org/officeDocument/2006/docPropsVTypes"/>
</file>