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6DBF1"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44"/>
          <w:szCs w:val="44"/>
        </w:rPr>
        <w:t>1</w:t>
      </w:r>
      <w:r w:rsidRPr="00A8580F">
        <w:rPr>
          <w:rFonts w:ascii="Times New Roman" w:eastAsia="Times New Roman" w:hAnsi="Times New Roman" w:cs="Times New Roman"/>
          <w:b/>
          <w:bCs/>
          <w:color w:val="505050"/>
          <w:sz w:val="36"/>
          <w:szCs w:val="36"/>
        </w:rPr>
        <w:t>. Introduction</w:t>
      </w:r>
    </w:p>
    <w:p w14:paraId="5A608E55" w14:textId="7911A92D"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Determining the level of consciousness in patients with </w:t>
      </w:r>
      <w:hyperlink r:id="rId5" w:tooltip="Learn more about disorders of consciousness from ScienceDirect's AI-generated Topic Pages" w:history="1">
        <w:r w:rsidRPr="00A8580F">
          <w:rPr>
            <w:rFonts w:ascii="Times New Roman" w:eastAsia="Times New Roman" w:hAnsi="Times New Roman" w:cs="Times New Roman"/>
            <w:color w:val="2E2E2E"/>
            <w:sz w:val="27"/>
            <w:szCs w:val="27"/>
            <w:u w:val="single"/>
          </w:rPr>
          <w:t>disorders of</w:t>
        </w:r>
        <w:r w:rsidR="00A8580F">
          <w:rPr>
            <w:rFonts w:ascii="Times New Roman" w:eastAsia="Times New Roman" w:hAnsi="Times New Roman" w:cs="Times New Roman"/>
            <w:color w:val="2E2E2E"/>
            <w:sz w:val="27"/>
            <w:szCs w:val="27"/>
            <w:u w:val="single"/>
          </w:rPr>
          <w:t xml:space="preserve"> </w:t>
        </w:r>
        <w:r w:rsidRPr="00A8580F">
          <w:rPr>
            <w:rFonts w:ascii="Times New Roman" w:eastAsia="Times New Roman" w:hAnsi="Times New Roman" w:cs="Times New Roman"/>
            <w:color w:val="2E2E2E"/>
            <w:sz w:val="27"/>
            <w:szCs w:val="27"/>
            <w:u w:val="single"/>
          </w:rPr>
          <w:t>consciousness</w:t>
        </w:r>
      </w:hyperlink>
      <w:r w:rsidRPr="00A8580F">
        <w:rPr>
          <w:rFonts w:ascii="Times New Roman" w:eastAsia="Times New Roman" w:hAnsi="Times New Roman" w:cs="Times New Roman"/>
          <w:color w:val="2E2E2E"/>
          <w:sz w:val="27"/>
          <w:szCs w:val="27"/>
        </w:rPr>
        <w:t> (DOC) remains a challenging clinical problem. The primary diagnostic tool, a behavioral assessment, is prone to erroneous conclusions (over 40%</w:t>
      </w:r>
      <w:r w:rsidR="00A8580F">
        <w:rPr>
          <w:rFonts w:ascii="Times New Roman" w:eastAsia="Times New Roman" w:hAnsi="Times New Roman" w:cs="Times New Roman"/>
          <w:color w:val="2E2E2E"/>
          <w:sz w:val="27"/>
          <w:szCs w:val="27"/>
        </w:rPr>
        <w:t xml:space="preserve"> </w:t>
      </w:r>
      <w:r w:rsidRPr="00A8580F">
        <w:rPr>
          <w:rFonts w:ascii="Times New Roman" w:eastAsia="Times New Roman" w:hAnsi="Times New Roman" w:cs="Times New Roman"/>
          <w:color w:val="2E2E2E"/>
          <w:sz w:val="27"/>
          <w:szCs w:val="27"/>
        </w:rPr>
        <w:t>misdiagnosis rate) when relying solely on the clinician’s judgment without standardized assessment (</w:t>
      </w:r>
      <w:bookmarkStart w:id="0" w:name="bbib86"/>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Schnakers</w:t>
      </w:r>
      <w:proofErr w:type="spellEnd"/>
      <w:r w:rsidRPr="00A8580F">
        <w:rPr>
          <w:rFonts w:ascii="Times New Roman" w:eastAsia="Times New Roman" w:hAnsi="Times New Roman" w:cs="Times New Roman"/>
          <w:color w:val="0C7DBB"/>
          <w:sz w:val="27"/>
          <w:szCs w:val="27"/>
          <w:u w:val="single"/>
        </w:rPr>
        <w:t xml:space="preserve"> et al., 2009b</w:t>
      </w:r>
      <w:r w:rsidRPr="00A8580F">
        <w:rPr>
          <w:rFonts w:ascii="Times New Roman" w:eastAsia="Times New Roman" w:hAnsi="Times New Roman" w:cs="Times New Roman"/>
          <w:color w:val="2E2E2E"/>
          <w:sz w:val="27"/>
          <w:szCs w:val="27"/>
        </w:rPr>
        <w:fldChar w:fldCharType="end"/>
      </w:r>
      <w:bookmarkEnd w:id="0"/>
      <w:r w:rsidRPr="00A8580F">
        <w:rPr>
          <w:rFonts w:ascii="Times New Roman" w:eastAsia="Times New Roman" w:hAnsi="Times New Roman" w:cs="Times New Roman"/>
          <w:color w:val="2E2E2E"/>
          <w:sz w:val="27"/>
          <w:szCs w:val="27"/>
        </w:rPr>
        <w:t>). Though standardized behavioral exams, like the Coma Recovery Scale-Revised (CRS-R) (</w:t>
      </w:r>
      <w:bookmarkStart w:id="1" w:name="bbib4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Giacino</w:t>
      </w:r>
      <w:proofErr w:type="spellEnd"/>
      <w:r w:rsidRPr="00A8580F">
        <w:rPr>
          <w:rFonts w:ascii="Times New Roman" w:eastAsia="Times New Roman" w:hAnsi="Times New Roman" w:cs="Times New Roman"/>
          <w:color w:val="0C7DBB"/>
          <w:sz w:val="27"/>
          <w:szCs w:val="27"/>
          <w:u w:val="single"/>
        </w:rPr>
        <w:t xml:space="preserve"> et al., 2004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are now widely used, misdiagnoses may also occur if patients are not assessed repeatedly within a short time window (</w:t>
      </w:r>
      <w:bookmarkStart w:id="2" w:name="bbib9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Wannez</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bookmarkEnd w:id="2"/>
      <w:r w:rsidRPr="00A8580F">
        <w:rPr>
          <w:rFonts w:ascii="Times New Roman" w:eastAsia="Times New Roman" w:hAnsi="Times New Roman" w:cs="Times New Roman"/>
          <w:color w:val="2E2E2E"/>
          <w:sz w:val="27"/>
          <w:szCs w:val="27"/>
        </w:rPr>
        <w:t>). In some cases, covert consciousness (i.e., awareness without overt responsiveness) can occur due to </w:t>
      </w:r>
      <w:hyperlink r:id="rId6" w:tooltip="Learn more about central nervous system from ScienceDirect's AI-generated Topic Pages" w:history="1">
        <w:r w:rsidRPr="00A8580F">
          <w:rPr>
            <w:rFonts w:ascii="Times New Roman" w:eastAsia="Times New Roman" w:hAnsi="Times New Roman" w:cs="Times New Roman"/>
            <w:color w:val="2E2E2E"/>
            <w:sz w:val="27"/>
            <w:szCs w:val="27"/>
            <w:u w:val="single"/>
          </w:rPr>
          <w:t>central nervous system</w:t>
        </w:r>
      </w:hyperlink>
      <w:r w:rsidRPr="00A8580F">
        <w:rPr>
          <w:rFonts w:ascii="Times New Roman" w:eastAsia="Times New Roman" w:hAnsi="Times New Roman" w:cs="Times New Roman"/>
          <w:color w:val="2E2E2E"/>
          <w:sz w:val="27"/>
          <w:szCs w:val="27"/>
        </w:rPr>
        <w:t> lesions that prevent motor activity (</w:t>
      </w:r>
      <w:bookmarkStart w:id="3" w:name="bbib3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Fernández-Espejo et al., 2015</w:t>
      </w:r>
      <w:r w:rsidRPr="00A8580F">
        <w:rPr>
          <w:rFonts w:ascii="Times New Roman" w:eastAsia="Times New Roman" w:hAnsi="Times New Roman" w:cs="Times New Roman"/>
          <w:color w:val="2E2E2E"/>
          <w:sz w:val="27"/>
          <w:szCs w:val="27"/>
        </w:rPr>
        <w:fldChar w:fldCharType="end"/>
      </w:r>
      <w:bookmarkEnd w:id="3"/>
      <w:r w:rsidRPr="00A8580F">
        <w:rPr>
          <w:rFonts w:ascii="Times New Roman" w:eastAsia="Times New Roman" w:hAnsi="Times New Roman" w:cs="Times New Roman"/>
          <w:color w:val="2E2E2E"/>
          <w:sz w:val="27"/>
          <w:szCs w:val="27"/>
        </w:rPr>
        <w:t>; </w:t>
      </w:r>
      <w:bookmarkStart w:id="4" w:name="bbib6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Monti et al., 2010</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5" w:name="bbib7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Owen et al., 2006</w:t>
      </w:r>
      <w:r w:rsidRPr="00A8580F">
        <w:rPr>
          <w:rFonts w:ascii="Times New Roman" w:eastAsia="Times New Roman" w:hAnsi="Times New Roman" w:cs="Times New Roman"/>
          <w:color w:val="2E2E2E"/>
          <w:sz w:val="27"/>
          <w:szCs w:val="27"/>
        </w:rPr>
        <w:fldChar w:fldCharType="end"/>
      </w:r>
      <w:bookmarkEnd w:id="5"/>
      <w:r w:rsidRPr="00A8580F">
        <w:rPr>
          <w:rFonts w:ascii="Times New Roman" w:eastAsia="Times New Roman" w:hAnsi="Times New Roman" w:cs="Times New Roman"/>
          <w:color w:val="2E2E2E"/>
          <w:sz w:val="27"/>
          <w:szCs w:val="27"/>
        </w:rPr>
        <w:t>). An analogous phenomenon, </w:t>
      </w:r>
      <w:hyperlink r:id="rId7" w:tooltip="Learn more about intraoperative awareness from ScienceDirect's AI-generated Topic Pages" w:history="1">
        <w:r w:rsidRPr="00A8580F">
          <w:rPr>
            <w:rFonts w:ascii="Times New Roman" w:eastAsia="Times New Roman" w:hAnsi="Times New Roman" w:cs="Times New Roman"/>
            <w:color w:val="2E2E2E"/>
            <w:sz w:val="27"/>
            <w:szCs w:val="27"/>
            <w:u w:val="single"/>
          </w:rPr>
          <w:t>intraoperative awareness</w:t>
        </w:r>
      </w:hyperlink>
      <w:r w:rsidRPr="00A8580F">
        <w:rPr>
          <w:rFonts w:ascii="Times New Roman" w:eastAsia="Times New Roman" w:hAnsi="Times New Roman" w:cs="Times New Roman"/>
          <w:color w:val="2E2E2E"/>
          <w:sz w:val="27"/>
          <w:szCs w:val="27"/>
        </w:rPr>
        <w:t> during </w:t>
      </w:r>
      <w:hyperlink r:id="rId8" w:tooltip="Learn more about general anesthesia from ScienceDirect's AI-generated Topic Pages" w:history="1">
        <w:r w:rsidRPr="00A8580F">
          <w:rPr>
            <w:rFonts w:ascii="Times New Roman" w:eastAsia="Times New Roman" w:hAnsi="Times New Roman" w:cs="Times New Roman"/>
            <w:color w:val="2E2E2E"/>
            <w:sz w:val="27"/>
            <w:szCs w:val="27"/>
            <w:u w:val="single"/>
          </w:rPr>
          <w:t>general anesthesia</w:t>
        </w:r>
      </w:hyperlink>
      <w:r w:rsidRPr="00A8580F">
        <w:rPr>
          <w:rFonts w:ascii="Times New Roman" w:eastAsia="Times New Roman" w:hAnsi="Times New Roman" w:cs="Times New Roman"/>
          <w:color w:val="2E2E2E"/>
          <w:sz w:val="27"/>
          <w:szCs w:val="27"/>
        </w:rPr>
        <w:t>, has been reported with explicit recall in 0.15% of all surgical cases (</w:t>
      </w:r>
      <w:bookmarkStart w:id="6" w:name="bbib6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6"/>
      <w:r w:rsidRPr="00A8580F">
        <w:rPr>
          <w:rFonts w:ascii="Times New Roman" w:eastAsia="Times New Roman" w:hAnsi="Times New Roman" w:cs="Times New Roman"/>
          <w:color w:val="2E2E2E"/>
          <w:sz w:val="27"/>
          <w:szCs w:val="27"/>
        </w:rPr>
        <w:t>, </w:t>
      </w:r>
      <w:bookmarkStart w:id="7" w:name="bbib6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2012</w:t>
      </w:r>
      <w:r w:rsidRPr="00A8580F">
        <w:rPr>
          <w:rFonts w:ascii="Times New Roman" w:eastAsia="Times New Roman" w:hAnsi="Times New Roman" w:cs="Times New Roman"/>
          <w:color w:val="2E2E2E"/>
          <w:sz w:val="27"/>
          <w:szCs w:val="27"/>
        </w:rPr>
        <w:fldChar w:fldCharType="end"/>
      </w:r>
      <w:bookmarkEnd w:id="7"/>
      <w:r w:rsidRPr="00A8580F">
        <w:rPr>
          <w:rFonts w:ascii="Times New Roman" w:eastAsia="Times New Roman" w:hAnsi="Times New Roman" w:cs="Times New Roman"/>
          <w:color w:val="2E2E2E"/>
          <w:sz w:val="27"/>
          <w:szCs w:val="27"/>
        </w:rPr>
        <w:t>), and without explicit recall in 5% of all cases (</w:t>
      </w:r>
      <w:bookmarkStart w:id="8" w:name="bbib8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Sanders et al., 2017</w:t>
      </w:r>
      <w:r w:rsidRPr="00A8580F">
        <w:rPr>
          <w:rFonts w:ascii="Times New Roman" w:eastAsia="Times New Roman" w:hAnsi="Times New Roman" w:cs="Times New Roman"/>
          <w:color w:val="2E2E2E"/>
          <w:sz w:val="27"/>
          <w:szCs w:val="27"/>
        </w:rPr>
        <w:fldChar w:fldCharType="end"/>
      </w:r>
      <w:bookmarkEnd w:id="8"/>
      <w:r w:rsidRPr="00A8580F">
        <w:rPr>
          <w:rFonts w:ascii="Times New Roman" w:eastAsia="Times New Roman" w:hAnsi="Times New Roman" w:cs="Times New Roman"/>
          <w:color w:val="2E2E2E"/>
          <w:sz w:val="27"/>
          <w:szCs w:val="27"/>
        </w:rPr>
        <w:t>). Further, covert consciousness was recently demonstrated by a healthy participant during </w:t>
      </w:r>
      <w:hyperlink r:id="rId9" w:tooltip="Learn more about propofol from ScienceDirect's AI-generated Topic Pages" w:history="1">
        <w:r w:rsidRPr="00A8580F">
          <w:rPr>
            <w:rFonts w:ascii="Times New Roman" w:eastAsia="Times New Roman" w:hAnsi="Times New Roman" w:cs="Times New Roman"/>
            <w:color w:val="2E2E2E"/>
            <w:sz w:val="27"/>
            <w:szCs w:val="27"/>
            <w:u w:val="single"/>
          </w:rPr>
          <w:t>propofol</w:t>
        </w:r>
      </w:hyperlink>
      <w:r w:rsidRPr="00A8580F">
        <w:rPr>
          <w:rFonts w:ascii="Times New Roman" w:eastAsia="Times New Roman" w:hAnsi="Times New Roman" w:cs="Times New Roman"/>
          <w:color w:val="2E2E2E"/>
          <w:sz w:val="27"/>
          <w:szCs w:val="27"/>
        </w:rPr>
        <w:t> anesthesia using an active fMRI-based paradigm. (</w:t>
      </w:r>
      <w:bookmarkStart w:id="9" w:name="bbib4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et al., 2018b</w:t>
      </w:r>
      <w:r w:rsidRPr="00A8580F">
        <w:rPr>
          <w:rFonts w:ascii="Times New Roman" w:eastAsia="Times New Roman" w:hAnsi="Times New Roman" w:cs="Times New Roman"/>
          <w:color w:val="2E2E2E"/>
          <w:sz w:val="27"/>
          <w:szCs w:val="27"/>
        </w:rPr>
        <w:fldChar w:fldCharType="end"/>
      </w:r>
      <w:bookmarkEnd w:id="9"/>
      <w:r w:rsidRPr="00A8580F">
        <w:rPr>
          <w:rFonts w:ascii="Times New Roman" w:eastAsia="Times New Roman" w:hAnsi="Times New Roman" w:cs="Times New Roman"/>
          <w:color w:val="2E2E2E"/>
          <w:sz w:val="27"/>
          <w:szCs w:val="27"/>
        </w:rPr>
        <w:t>). Thus, the identification of preserved consciousness is of substantial importance in the clinical setting as the reliable detection of preserved consciousness in DOC patients can lead to an increased focus on rehabilitative efforts that may foster recovery (</w:t>
      </w:r>
      <w:bookmarkStart w:id="10" w:name="bbib3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Fins et al., 2007</w:t>
      </w:r>
      <w:r w:rsidRPr="00A8580F">
        <w:rPr>
          <w:rFonts w:ascii="Times New Roman" w:eastAsia="Times New Roman" w:hAnsi="Times New Roman" w:cs="Times New Roman"/>
          <w:color w:val="2E2E2E"/>
          <w:sz w:val="27"/>
          <w:szCs w:val="27"/>
        </w:rPr>
        <w:fldChar w:fldCharType="end"/>
      </w:r>
      <w:bookmarkEnd w:id="10"/>
      <w:r w:rsidRPr="00A8580F">
        <w:rPr>
          <w:rFonts w:ascii="Times New Roman" w:eastAsia="Times New Roman" w:hAnsi="Times New Roman" w:cs="Times New Roman"/>
          <w:color w:val="2E2E2E"/>
          <w:sz w:val="27"/>
          <w:szCs w:val="27"/>
        </w:rPr>
        <w:t>; </w:t>
      </w:r>
      <w:bookmarkStart w:id="11" w:name="bbib3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Giacino</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bookmarkEnd w:id="11"/>
      <w:r w:rsidRPr="00A8580F">
        <w:rPr>
          <w:rFonts w:ascii="Times New Roman" w:eastAsia="Times New Roman" w:hAnsi="Times New Roman" w:cs="Times New Roman"/>
          <w:color w:val="2E2E2E"/>
          <w:sz w:val="27"/>
          <w:szCs w:val="27"/>
        </w:rPr>
        <w:t>). Therefore, the need to establish reproducible brain markers linked to different levels of consciousness independent of behavior is paramount.</w:t>
      </w:r>
    </w:p>
    <w:p w14:paraId="45412E4B"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Within the last decade, there has been a surge of interest in identifying more objective techniques for measuring levels of consciousness. A wealth of previous research has explored possible </w:t>
      </w:r>
      <w:hyperlink r:id="rId10" w:tooltip="Learn more about neural correlates of consciousness from ScienceDirect's AI-generated Topic Pages" w:history="1">
        <w:r w:rsidRPr="00A8580F">
          <w:rPr>
            <w:rFonts w:ascii="Times New Roman" w:eastAsia="Times New Roman" w:hAnsi="Times New Roman" w:cs="Times New Roman"/>
            <w:color w:val="2E2E2E"/>
            <w:sz w:val="27"/>
            <w:szCs w:val="27"/>
            <w:u w:val="single"/>
          </w:rPr>
          <w:t>neural correlates of consciousness</w:t>
        </w:r>
      </w:hyperlink>
      <w:r w:rsidRPr="00A8580F">
        <w:rPr>
          <w:rFonts w:ascii="Times New Roman" w:eastAsia="Times New Roman" w:hAnsi="Times New Roman" w:cs="Times New Roman"/>
          <w:color w:val="2E2E2E"/>
          <w:sz w:val="27"/>
          <w:szCs w:val="27"/>
        </w:rPr>
        <w:t> derived from neuroimaging techniques, like functional magnetic resonance imaging (</w:t>
      </w:r>
      <w:bookmarkStart w:id="12" w:name="bbib8"/>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Bekinschtein</w:t>
      </w:r>
      <w:proofErr w:type="spellEnd"/>
      <w:r w:rsidRPr="00A8580F">
        <w:rPr>
          <w:rFonts w:ascii="Times New Roman" w:eastAsia="Times New Roman" w:hAnsi="Times New Roman" w:cs="Times New Roman"/>
          <w:color w:val="0C7DBB"/>
          <w:sz w:val="27"/>
          <w:szCs w:val="27"/>
          <w:u w:val="single"/>
        </w:rPr>
        <w:t xml:space="preserve"> et al., 2005</w:t>
      </w:r>
      <w:r w:rsidRPr="00A8580F">
        <w:rPr>
          <w:rFonts w:ascii="Times New Roman" w:eastAsia="Times New Roman" w:hAnsi="Times New Roman" w:cs="Times New Roman"/>
          <w:color w:val="2E2E2E"/>
          <w:sz w:val="27"/>
          <w:szCs w:val="27"/>
        </w:rPr>
        <w:fldChar w:fldCharType="end"/>
      </w:r>
      <w:bookmarkEnd w:id="12"/>
      <w:r w:rsidRPr="00A8580F">
        <w:rPr>
          <w:rFonts w:ascii="Times New Roman" w:eastAsia="Times New Roman" w:hAnsi="Times New Roman" w:cs="Times New Roman"/>
          <w:color w:val="2E2E2E"/>
          <w:sz w:val="27"/>
          <w:szCs w:val="27"/>
        </w:rPr>
        <w:t>, </w:t>
      </w:r>
      <w:bookmarkStart w:id="13" w:name="bbib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2004</w:t>
      </w:r>
      <w:r w:rsidRPr="00A8580F">
        <w:rPr>
          <w:rFonts w:ascii="Times New Roman" w:eastAsia="Times New Roman" w:hAnsi="Times New Roman" w:cs="Times New Roman"/>
          <w:color w:val="2E2E2E"/>
          <w:sz w:val="27"/>
          <w:szCs w:val="27"/>
        </w:rPr>
        <w:fldChar w:fldCharType="end"/>
      </w:r>
      <w:bookmarkEnd w:id="13"/>
      <w:r w:rsidRPr="00A8580F">
        <w:rPr>
          <w:rFonts w:ascii="Times New Roman" w:eastAsia="Times New Roman" w:hAnsi="Times New Roman" w:cs="Times New Roman"/>
          <w:color w:val="2E2E2E"/>
          <w:sz w:val="27"/>
          <w:szCs w:val="27"/>
        </w:rPr>
        <w:t>; </w:t>
      </w:r>
      <w:bookmarkStart w:id="14" w:name="bbib2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Chen et al., 2018</w:t>
      </w:r>
      <w:r w:rsidRPr="00A8580F">
        <w:rPr>
          <w:rFonts w:ascii="Times New Roman" w:eastAsia="Times New Roman" w:hAnsi="Times New Roman" w:cs="Times New Roman"/>
          <w:color w:val="2E2E2E"/>
          <w:sz w:val="27"/>
          <w:szCs w:val="27"/>
        </w:rPr>
        <w:fldChar w:fldCharType="end"/>
      </w:r>
      <w:bookmarkEnd w:id="14"/>
      <w:r w:rsidRPr="00A8580F">
        <w:rPr>
          <w:rFonts w:ascii="Times New Roman" w:eastAsia="Times New Roman" w:hAnsi="Times New Roman" w:cs="Times New Roman"/>
          <w:color w:val="2E2E2E"/>
          <w:sz w:val="27"/>
          <w:szCs w:val="27"/>
        </w:rPr>
        <w:t>; </w:t>
      </w:r>
      <w:bookmarkStart w:id="15" w:name="bbib2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Coleman et al., 2009</w:t>
      </w:r>
      <w:r w:rsidRPr="00A8580F">
        <w:rPr>
          <w:rFonts w:ascii="Times New Roman" w:eastAsia="Times New Roman" w:hAnsi="Times New Roman" w:cs="Times New Roman"/>
          <w:color w:val="2E2E2E"/>
          <w:sz w:val="27"/>
          <w:szCs w:val="27"/>
        </w:rPr>
        <w:fldChar w:fldCharType="end"/>
      </w:r>
      <w:bookmarkEnd w:id="15"/>
      <w:r w:rsidRPr="00A8580F">
        <w:rPr>
          <w:rFonts w:ascii="Times New Roman" w:eastAsia="Times New Roman" w:hAnsi="Times New Roman" w:cs="Times New Roman"/>
          <w:color w:val="2E2E2E"/>
          <w:sz w:val="27"/>
          <w:szCs w:val="27"/>
        </w:rPr>
        <w:t>; </w:t>
      </w:r>
      <w:bookmarkStart w:id="16" w:name="bbib6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Mäki-Marttunen</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16"/>
      <w:r w:rsidRPr="00A8580F">
        <w:rPr>
          <w:rFonts w:ascii="Times New Roman" w:eastAsia="Times New Roman" w:hAnsi="Times New Roman" w:cs="Times New Roman"/>
          <w:color w:val="2E2E2E"/>
          <w:sz w:val="27"/>
          <w:szCs w:val="27"/>
        </w:rPr>
        <w:t>) and </w:t>
      </w:r>
      <w:hyperlink r:id="rId11" w:tooltip="Learn more about positron emission tomography from ScienceDirect's AI-generated Topic Pages" w:history="1">
        <w:r w:rsidRPr="00A8580F">
          <w:rPr>
            <w:rFonts w:ascii="Times New Roman" w:eastAsia="Times New Roman" w:hAnsi="Times New Roman" w:cs="Times New Roman"/>
            <w:color w:val="2E2E2E"/>
            <w:sz w:val="27"/>
            <w:szCs w:val="27"/>
            <w:u w:val="single"/>
          </w:rPr>
          <w:t>positron emission tomography</w:t>
        </w:r>
      </w:hyperlink>
      <w:r w:rsidRPr="00A8580F">
        <w:rPr>
          <w:rFonts w:ascii="Times New Roman" w:eastAsia="Times New Roman" w:hAnsi="Times New Roman" w:cs="Times New Roman"/>
          <w:color w:val="2E2E2E"/>
          <w:sz w:val="27"/>
          <w:szCs w:val="27"/>
        </w:rPr>
        <w:t> (</w:t>
      </w:r>
      <w:bookmarkStart w:id="17" w:name="bbib1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Boly</w:t>
      </w:r>
      <w:proofErr w:type="spellEnd"/>
      <w:r w:rsidRPr="00A8580F">
        <w:rPr>
          <w:rFonts w:ascii="Times New Roman" w:eastAsia="Times New Roman" w:hAnsi="Times New Roman" w:cs="Times New Roman"/>
          <w:color w:val="0C7DBB"/>
          <w:sz w:val="27"/>
          <w:szCs w:val="27"/>
          <w:u w:val="single"/>
        </w:rPr>
        <w:t xml:space="preserve"> et al., 2008</w:t>
      </w:r>
      <w:r w:rsidRPr="00A8580F">
        <w:rPr>
          <w:rFonts w:ascii="Times New Roman" w:eastAsia="Times New Roman" w:hAnsi="Times New Roman" w:cs="Times New Roman"/>
          <w:color w:val="2E2E2E"/>
          <w:sz w:val="27"/>
          <w:szCs w:val="27"/>
        </w:rPr>
        <w:fldChar w:fldCharType="end"/>
      </w:r>
      <w:bookmarkEnd w:id="17"/>
      <w:r w:rsidRPr="00A8580F">
        <w:rPr>
          <w:rFonts w:ascii="Times New Roman" w:eastAsia="Times New Roman" w:hAnsi="Times New Roman" w:cs="Times New Roman"/>
          <w:color w:val="2E2E2E"/>
          <w:sz w:val="27"/>
          <w:szCs w:val="27"/>
        </w:rPr>
        <w:t>, </w:t>
      </w:r>
      <w:bookmarkStart w:id="18" w:name="bbib1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2004</w:t>
      </w:r>
      <w:r w:rsidRPr="00A8580F">
        <w:rPr>
          <w:rFonts w:ascii="Times New Roman" w:eastAsia="Times New Roman" w:hAnsi="Times New Roman" w:cs="Times New Roman"/>
          <w:color w:val="2E2E2E"/>
          <w:sz w:val="27"/>
          <w:szCs w:val="27"/>
        </w:rPr>
        <w:fldChar w:fldCharType="end"/>
      </w:r>
      <w:bookmarkEnd w:id="18"/>
      <w:r w:rsidRPr="00A8580F">
        <w:rPr>
          <w:rFonts w:ascii="Times New Roman" w:eastAsia="Times New Roman" w:hAnsi="Times New Roman" w:cs="Times New Roman"/>
          <w:color w:val="2E2E2E"/>
          <w:sz w:val="27"/>
          <w:szCs w:val="27"/>
        </w:rPr>
        <w:t>; </w:t>
      </w:r>
      <w:bookmarkStart w:id="19" w:name="bbib8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Silva et al., 2010</w:t>
      </w:r>
      <w:r w:rsidRPr="00A8580F">
        <w:rPr>
          <w:rFonts w:ascii="Times New Roman" w:eastAsia="Times New Roman" w:hAnsi="Times New Roman" w:cs="Times New Roman"/>
          <w:color w:val="2E2E2E"/>
          <w:sz w:val="27"/>
          <w:szCs w:val="27"/>
        </w:rPr>
        <w:fldChar w:fldCharType="end"/>
      </w:r>
      <w:bookmarkEnd w:id="19"/>
      <w:r w:rsidRPr="00A8580F">
        <w:rPr>
          <w:rFonts w:ascii="Times New Roman" w:eastAsia="Times New Roman" w:hAnsi="Times New Roman" w:cs="Times New Roman"/>
          <w:color w:val="2E2E2E"/>
          <w:sz w:val="27"/>
          <w:szCs w:val="27"/>
        </w:rPr>
        <w:t>) as well as measures of neurophysiological responses to stimuli captured by electroencephalography (</w:t>
      </w:r>
      <w:bookmarkStart w:id="20" w:name="bbib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Bekinschtein</w:t>
      </w:r>
      <w:proofErr w:type="spellEnd"/>
      <w:r w:rsidRPr="00A8580F">
        <w:rPr>
          <w:rFonts w:ascii="Times New Roman" w:eastAsia="Times New Roman" w:hAnsi="Times New Roman" w:cs="Times New Roman"/>
          <w:color w:val="0C7DBB"/>
          <w:sz w:val="27"/>
          <w:szCs w:val="27"/>
          <w:u w:val="single"/>
        </w:rPr>
        <w:t xml:space="preserve"> et al., 2009</w:t>
      </w:r>
      <w:r w:rsidRPr="00A8580F">
        <w:rPr>
          <w:rFonts w:ascii="Times New Roman" w:eastAsia="Times New Roman" w:hAnsi="Times New Roman" w:cs="Times New Roman"/>
          <w:color w:val="2E2E2E"/>
          <w:sz w:val="27"/>
          <w:szCs w:val="27"/>
        </w:rPr>
        <w:fldChar w:fldCharType="end"/>
      </w:r>
      <w:bookmarkEnd w:id="20"/>
      <w:r w:rsidRPr="00A8580F">
        <w:rPr>
          <w:rFonts w:ascii="Times New Roman" w:eastAsia="Times New Roman" w:hAnsi="Times New Roman" w:cs="Times New Roman"/>
          <w:color w:val="2E2E2E"/>
          <w:sz w:val="27"/>
          <w:szCs w:val="27"/>
        </w:rPr>
        <w:t>; </w:t>
      </w:r>
      <w:bookmarkStart w:id="21" w:name="bbib8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Schnakers</w:t>
      </w:r>
      <w:proofErr w:type="spellEnd"/>
      <w:r w:rsidRPr="00A8580F">
        <w:rPr>
          <w:rFonts w:ascii="Times New Roman" w:eastAsia="Times New Roman" w:hAnsi="Times New Roman" w:cs="Times New Roman"/>
          <w:color w:val="0C7DBB"/>
          <w:sz w:val="27"/>
          <w:szCs w:val="27"/>
          <w:u w:val="single"/>
        </w:rPr>
        <w:t xml:space="preserve"> et al., 2009a</w:t>
      </w:r>
      <w:r w:rsidRPr="00A8580F">
        <w:rPr>
          <w:rFonts w:ascii="Times New Roman" w:eastAsia="Times New Roman" w:hAnsi="Times New Roman" w:cs="Times New Roman"/>
          <w:color w:val="2E2E2E"/>
          <w:sz w:val="27"/>
          <w:szCs w:val="27"/>
        </w:rPr>
        <w:fldChar w:fldCharType="end"/>
      </w:r>
      <w:bookmarkEnd w:id="21"/>
      <w:r w:rsidRPr="00A8580F">
        <w:rPr>
          <w:rFonts w:ascii="Times New Roman" w:eastAsia="Times New Roman" w:hAnsi="Times New Roman" w:cs="Times New Roman"/>
          <w:color w:val="2E2E2E"/>
          <w:sz w:val="27"/>
          <w:szCs w:val="27"/>
        </w:rPr>
        <w:t>, </w:t>
      </w:r>
      <w:bookmarkStart w:id="22" w:name="bbib8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2008</w:t>
      </w:r>
      <w:r w:rsidRPr="00A8580F">
        <w:rPr>
          <w:rFonts w:ascii="Times New Roman" w:eastAsia="Times New Roman" w:hAnsi="Times New Roman" w:cs="Times New Roman"/>
          <w:color w:val="2E2E2E"/>
          <w:sz w:val="27"/>
          <w:szCs w:val="27"/>
        </w:rPr>
        <w:fldChar w:fldCharType="end"/>
      </w:r>
      <w:bookmarkEnd w:id="22"/>
      <w:r w:rsidRPr="00A8580F">
        <w:rPr>
          <w:rFonts w:ascii="Times New Roman" w:eastAsia="Times New Roman" w:hAnsi="Times New Roman" w:cs="Times New Roman"/>
          <w:color w:val="2E2E2E"/>
          <w:sz w:val="27"/>
          <w:szCs w:val="27"/>
        </w:rPr>
        <w:t>). For a review see (</w:t>
      </w:r>
      <w:bookmarkStart w:id="23" w:name="bbib56"/>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Laureys</w:t>
      </w:r>
      <w:proofErr w:type="spellEnd"/>
      <w:r w:rsidRPr="00A8580F">
        <w:rPr>
          <w:rFonts w:ascii="Times New Roman" w:eastAsia="Times New Roman" w:hAnsi="Times New Roman" w:cs="Times New Roman"/>
          <w:color w:val="0C7DBB"/>
          <w:sz w:val="27"/>
          <w:szCs w:val="27"/>
          <w:u w:val="single"/>
        </w:rPr>
        <w:t xml:space="preserve"> and Schiff, 2012</w:t>
      </w:r>
      <w:r w:rsidRPr="00A8580F">
        <w:rPr>
          <w:rFonts w:ascii="Times New Roman" w:eastAsia="Times New Roman" w:hAnsi="Times New Roman" w:cs="Times New Roman"/>
          <w:color w:val="2E2E2E"/>
          <w:sz w:val="27"/>
          <w:szCs w:val="27"/>
        </w:rPr>
        <w:fldChar w:fldCharType="end"/>
      </w:r>
      <w:bookmarkEnd w:id="23"/>
      <w:r w:rsidRPr="00A8580F">
        <w:rPr>
          <w:rFonts w:ascii="Times New Roman" w:eastAsia="Times New Roman" w:hAnsi="Times New Roman" w:cs="Times New Roman"/>
          <w:color w:val="2E2E2E"/>
          <w:sz w:val="27"/>
          <w:szCs w:val="27"/>
        </w:rPr>
        <w:t>; </w:t>
      </w:r>
      <w:bookmarkStart w:id="24" w:name="bbib64"/>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Hudetz</w:t>
      </w:r>
      <w:proofErr w:type="spellEnd"/>
      <w:r w:rsidRPr="00A8580F">
        <w:rPr>
          <w:rFonts w:ascii="Times New Roman" w:eastAsia="Times New Roman" w:hAnsi="Times New Roman" w:cs="Times New Roman"/>
          <w:color w:val="0C7DBB"/>
          <w:sz w:val="27"/>
          <w:szCs w:val="27"/>
          <w:u w:val="single"/>
        </w:rPr>
        <w:t>,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25" w:name="bbib7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Owen, 2013</w:t>
      </w:r>
      <w:r w:rsidRPr="00A8580F">
        <w:rPr>
          <w:rFonts w:ascii="Times New Roman" w:eastAsia="Times New Roman" w:hAnsi="Times New Roman" w:cs="Times New Roman"/>
          <w:color w:val="2E2E2E"/>
          <w:sz w:val="27"/>
          <w:szCs w:val="27"/>
        </w:rPr>
        <w:fldChar w:fldCharType="end"/>
      </w:r>
      <w:bookmarkEnd w:id="25"/>
      <w:r w:rsidRPr="00A8580F">
        <w:rPr>
          <w:rFonts w:ascii="Times New Roman" w:eastAsia="Times New Roman" w:hAnsi="Times New Roman" w:cs="Times New Roman"/>
          <w:color w:val="2E2E2E"/>
          <w:sz w:val="27"/>
          <w:szCs w:val="27"/>
        </w:rPr>
        <w:t>). Each methodological approach has unique advantages and disadvantages depending on the specific goals and application (</w:t>
      </w:r>
      <w:bookmarkStart w:id="26" w:name="bbib14"/>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Boly</w:t>
      </w:r>
      <w:proofErr w:type="spellEnd"/>
      <w:r w:rsidRPr="00A8580F">
        <w:rPr>
          <w:rFonts w:ascii="Times New Roman" w:eastAsia="Times New Roman" w:hAnsi="Times New Roman" w:cs="Times New Roman"/>
          <w:color w:val="0C7DBB"/>
          <w:sz w:val="27"/>
          <w:szCs w:val="27"/>
          <w:u w:val="single"/>
        </w:rPr>
        <w:t xml:space="preserve"> et al., 2012</w:t>
      </w:r>
      <w:r w:rsidRPr="00A8580F">
        <w:rPr>
          <w:rFonts w:ascii="Times New Roman" w:eastAsia="Times New Roman" w:hAnsi="Times New Roman" w:cs="Times New Roman"/>
          <w:color w:val="2E2E2E"/>
          <w:sz w:val="27"/>
          <w:szCs w:val="27"/>
        </w:rPr>
        <w:fldChar w:fldCharType="end"/>
      </w:r>
      <w:bookmarkEnd w:id="26"/>
      <w:r w:rsidRPr="00A8580F">
        <w:rPr>
          <w:rFonts w:ascii="Times New Roman" w:eastAsia="Times New Roman" w:hAnsi="Times New Roman" w:cs="Times New Roman"/>
          <w:color w:val="2E2E2E"/>
          <w:sz w:val="27"/>
          <w:szCs w:val="27"/>
        </w:rPr>
        <w:t>).</w:t>
      </w:r>
    </w:p>
    <w:p w14:paraId="7099BDC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Of these techniques, resting-state fMRI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measurements appear especially fruitful as they are capable of providing key components in understanding the dynamic functional organization of brain activity across multiple scales (i.e., local, regional, network) that appears necessary for consciousness (</w:t>
      </w:r>
      <w:bookmarkStart w:id="27" w:name="bbib4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et al., 2018a</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Accordingly, particular features of intrinsic brain activity have been associated with physiologic, pharmacologic, and pathologic states of </w:t>
      </w:r>
      <w:hyperlink r:id="rId12" w:tooltip="Learn more about unconsciousness from ScienceDirect's AI-generated Topic Pages" w:history="1">
        <w:r w:rsidRPr="00A8580F">
          <w:rPr>
            <w:rFonts w:ascii="Times New Roman" w:eastAsia="Times New Roman" w:hAnsi="Times New Roman" w:cs="Times New Roman"/>
            <w:color w:val="2E2E2E"/>
            <w:sz w:val="27"/>
            <w:szCs w:val="27"/>
            <w:u w:val="single"/>
          </w:rPr>
          <w:t>unconsciousness</w:t>
        </w:r>
      </w:hyperlink>
      <w:r w:rsidRPr="00A8580F">
        <w:rPr>
          <w:rFonts w:ascii="Times New Roman" w:eastAsia="Times New Roman" w:hAnsi="Times New Roman" w:cs="Times New Roman"/>
          <w:color w:val="2E2E2E"/>
          <w:sz w:val="27"/>
          <w:szCs w:val="27"/>
        </w:rPr>
        <w:t> (</w:t>
      </w:r>
      <w:bookmarkStart w:id="28" w:name="bbib1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Boveroux</w:t>
      </w:r>
      <w:proofErr w:type="spellEnd"/>
      <w:r w:rsidRPr="00A8580F">
        <w:rPr>
          <w:rFonts w:ascii="Times New Roman" w:eastAsia="Times New Roman" w:hAnsi="Times New Roman" w:cs="Times New Roman"/>
          <w:color w:val="0C7DBB"/>
          <w:sz w:val="27"/>
          <w:szCs w:val="27"/>
          <w:u w:val="single"/>
        </w:rPr>
        <w:t xml:space="preserve"> </w:t>
      </w:r>
      <w:r w:rsidRPr="00A8580F">
        <w:rPr>
          <w:rFonts w:ascii="Times New Roman" w:eastAsia="Times New Roman" w:hAnsi="Times New Roman" w:cs="Times New Roman"/>
          <w:color w:val="0C7DBB"/>
          <w:sz w:val="27"/>
          <w:szCs w:val="27"/>
          <w:u w:val="single"/>
        </w:rPr>
        <w:lastRenderedPageBreak/>
        <w:t>et al., 2010</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29" w:name="bbib2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2011</w:t>
      </w:r>
      <w:r w:rsidRPr="00A8580F">
        <w:rPr>
          <w:rFonts w:ascii="Times New Roman" w:eastAsia="Times New Roman" w:hAnsi="Times New Roman" w:cs="Times New Roman"/>
          <w:color w:val="2E2E2E"/>
          <w:sz w:val="27"/>
          <w:szCs w:val="27"/>
        </w:rPr>
        <w:fldChar w:fldCharType="end"/>
      </w:r>
      <w:bookmarkEnd w:id="29"/>
      <w:r w:rsidRPr="00A8580F">
        <w:rPr>
          <w:rFonts w:ascii="Times New Roman" w:eastAsia="Times New Roman" w:hAnsi="Times New Roman" w:cs="Times New Roman"/>
          <w:color w:val="2E2E2E"/>
          <w:sz w:val="27"/>
          <w:szCs w:val="27"/>
        </w:rPr>
        <w:t>; </w:t>
      </w:r>
      <w:bookmarkStart w:id="30" w:name="bbib2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Di Perri et al., 2016</w:t>
      </w:r>
      <w:r w:rsidRPr="00A8580F">
        <w:rPr>
          <w:rFonts w:ascii="Times New Roman" w:eastAsia="Times New Roman" w:hAnsi="Times New Roman" w:cs="Times New Roman"/>
          <w:color w:val="2E2E2E"/>
          <w:sz w:val="27"/>
          <w:szCs w:val="27"/>
        </w:rPr>
        <w:fldChar w:fldCharType="end"/>
      </w:r>
      <w:bookmarkEnd w:id="30"/>
      <w:r w:rsidRPr="00A8580F">
        <w:rPr>
          <w:rFonts w:ascii="Times New Roman" w:eastAsia="Times New Roman" w:hAnsi="Times New Roman" w:cs="Times New Roman"/>
          <w:color w:val="2E2E2E"/>
          <w:sz w:val="27"/>
          <w:szCs w:val="27"/>
        </w:rPr>
        <w:t>; </w:t>
      </w:r>
      <w:bookmarkStart w:id="31" w:name="bbib4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Heine et al., 2012</w:t>
      </w:r>
      <w:r w:rsidRPr="00A8580F">
        <w:rPr>
          <w:rFonts w:ascii="Times New Roman" w:eastAsia="Times New Roman" w:hAnsi="Times New Roman" w:cs="Times New Roman"/>
          <w:color w:val="2E2E2E"/>
          <w:sz w:val="27"/>
          <w:szCs w:val="27"/>
        </w:rPr>
        <w:fldChar w:fldCharType="end"/>
      </w:r>
      <w:bookmarkEnd w:id="31"/>
      <w:r w:rsidRPr="00A8580F">
        <w:rPr>
          <w:rFonts w:ascii="Times New Roman" w:eastAsia="Times New Roman" w:hAnsi="Times New Roman" w:cs="Times New Roman"/>
          <w:color w:val="2E2E2E"/>
          <w:sz w:val="27"/>
          <w:szCs w:val="27"/>
        </w:rPr>
        <w:t>; </w:t>
      </w:r>
      <w:bookmarkStart w:id="32" w:name="bbib7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Roquet</w:t>
      </w:r>
      <w:proofErr w:type="spellEnd"/>
      <w:r w:rsidRPr="00A8580F">
        <w:rPr>
          <w:rFonts w:ascii="Times New Roman" w:eastAsia="Times New Roman" w:hAnsi="Times New Roman" w:cs="Times New Roman"/>
          <w:color w:val="0C7DBB"/>
          <w:sz w:val="27"/>
          <w:szCs w:val="27"/>
          <w:u w:val="single"/>
        </w:rPr>
        <w:t xml:space="preserve"> et al., 2016</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3" w:name="bbib9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Soddu</w:t>
      </w:r>
      <w:proofErr w:type="spellEnd"/>
      <w:r w:rsidRPr="00A8580F">
        <w:rPr>
          <w:rFonts w:ascii="Times New Roman" w:eastAsia="Times New Roman" w:hAnsi="Times New Roman" w:cs="Times New Roman"/>
          <w:color w:val="0C7DBB"/>
          <w:sz w:val="27"/>
          <w:szCs w:val="27"/>
          <w:u w:val="single"/>
        </w:rPr>
        <w:t xml:space="preserve"> et al., 2009</w:t>
      </w:r>
      <w:r w:rsidRPr="00A8580F">
        <w:rPr>
          <w:rFonts w:ascii="Times New Roman" w:eastAsia="Times New Roman" w:hAnsi="Times New Roman" w:cs="Times New Roman"/>
          <w:color w:val="2E2E2E"/>
          <w:sz w:val="27"/>
          <w:szCs w:val="27"/>
        </w:rPr>
        <w:fldChar w:fldCharType="end"/>
      </w:r>
      <w:bookmarkEnd w:id="33"/>
      <w:r w:rsidRPr="00A8580F">
        <w:rPr>
          <w:rFonts w:ascii="Times New Roman" w:eastAsia="Times New Roman" w:hAnsi="Times New Roman" w:cs="Times New Roman"/>
          <w:color w:val="2E2E2E"/>
          <w:sz w:val="27"/>
          <w:szCs w:val="27"/>
        </w:rPr>
        <w:t xml:space="preserve">). Although substantial progress has been made towards this endeavor, a robust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classification for states of consciousness is still lacking. However, recent developments in machine learning show promise as a tool to augment the discrimination between different states of consciousness in clinical practice. In the last decade, researchers have successfully built models capable of distinguishing between different degrees of awareness—locked-in syndrome, </w:t>
      </w:r>
      <w:hyperlink r:id="rId13" w:tooltip="Learn more about minimally conscious state from ScienceDirect's AI-generated Topic Pages" w:history="1">
        <w:r w:rsidRPr="00A8580F">
          <w:rPr>
            <w:rFonts w:ascii="Times New Roman" w:eastAsia="Times New Roman" w:hAnsi="Times New Roman" w:cs="Times New Roman"/>
            <w:color w:val="2E2E2E"/>
            <w:sz w:val="27"/>
            <w:szCs w:val="27"/>
            <w:u w:val="single"/>
          </w:rPr>
          <w:t>minimally conscious state</w:t>
        </w:r>
      </w:hyperlink>
      <w:r w:rsidRPr="00A8580F">
        <w:rPr>
          <w:rFonts w:ascii="Times New Roman" w:eastAsia="Times New Roman" w:hAnsi="Times New Roman" w:cs="Times New Roman"/>
          <w:color w:val="2E2E2E"/>
          <w:sz w:val="27"/>
          <w:szCs w:val="27"/>
        </w:rPr>
        <w:t> (MCS), and unresponsive wakefulness syndrome/vegetative state (UWS/VS)—based on each patient’s neuroimaging data (</w:t>
      </w:r>
      <w:bookmarkStart w:id="34" w:name="bbib28"/>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2019</w:t>
      </w:r>
      <w:r w:rsidRPr="00A8580F">
        <w:rPr>
          <w:rFonts w:ascii="Times New Roman" w:eastAsia="Times New Roman" w:hAnsi="Times New Roman" w:cs="Times New Roman"/>
          <w:color w:val="2E2E2E"/>
          <w:sz w:val="27"/>
          <w:szCs w:val="27"/>
        </w:rPr>
        <w:fldChar w:fldCharType="end"/>
      </w:r>
      <w:bookmarkEnd w:id="34"/>
      <w:r w:rsidRPr="00A8580F">
        <w:rPr>
          <w:rFonts w:ascii="Times New Roman" w:eastAsia="Times New Roman" w:hAnsi="Times New Roman" w:cs="Times New Roman"/>
          <w:color w:val="2E2E2E"/>
          <w:sz w:val="27"/>
          <w:szCs w:val="27"/>
        </w:rPr>
        <w:t>, </w:t>
      </w:r>
      <w:bookmarkStart w:id="35" w:name="bbib2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6" w:name="bbib3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7" w:name="bbib7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Phillips et al., 2011</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38" w:name="bbib9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Sitt</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5513310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Despite this progress, one persistent challenge to the study of DOC patients is the etiological heterogeneity—DOC may be induced through focal injury to neural tissues (e.g., </w:t>
      </w:r>
      <w:hyperlink r:id="rId14" w:tooltip="Learn more about traumatic brain injury from ScienceDirect's AI-generated Topic Pages" w:history="1">
        <w:r w:rsidRPr="00A8580F">
          <w:rPr>
            <w:rFonts w:ascii="Times New Roman" w:eastAsia="Times New Roman" w:hAnsi="Times New Roman" w:cs="Times New Roman"/>
            <w:color w:val="2E2E2E"/>
            <w:sz w:val="27"/>
            <w:szCs w:val="27"/>
            <w:u w:val="single"/>
          </w:rPr>
          <w:t>traumatic brain injury</w:t>
        </w:r>
      </w:hyperlink>
      <w:r w:rsidRPr="00A8580F">
        <w:rPr>
          <w:rFonts w:ascii="Times New Roman" w:eastAsia="Times New Roman" w:hAnsi="Times New Roman" w:cs="Times New Roman"/>
          <w:color w:val="2E2E2E"/>
          <w:sz w:val="27"/>
          <w:szCs w:val="27"/>
        </w:rPr>
        <w:t>, stroke) or more diffuse damage (e.g., Alzheimer’s disease)—each of which affects the structural integrity and functional dynamics of the brain in distinct ways (</w:t>
      </w:r>
      <w:bookmarkStart w:id="39" w:name="bbib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Amemiya</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39"/>
      <w:r w:rsidRPr="00A8580F">
        <w:rPr>
          <w:rFonts w:ascii="Times New Roman" w:eastAsia="Times New Roman" w:hAnsi="Times New Roman" w:cs="Times New Roman"/>
          <w:color w:val="2E2E2E"/>
          <w:sz w:val="27"/>
          <w:szCs w:val="27"/>
        </w:rPr>
        <w:t>; </w:t>
      </w:r>
      <w:bookmarkStart w:id="40" w:name="bbib9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Sours et al., 2015</w:t>
      </w:r>
      <w:r w:rsidRPr="00A8580F">
        <w:rPr>
          <w:rFonts w:ascii="Times New Roman" w:eastAsia="Times New Roman" w:hAnsi="Times New Roman" w:cs="Times New Roman"/>
          <w:color w:val="2E2E2E"/>
          <w:sz w:val="27"/>
          <w:szCs w:val="27"/>
        </w:rPr>
        <w:fldChar w:fldCharType="end"/>
      </w:r>
      <w:bookmarkEnd w:id="40"/>
      <w:r w:rsidRPr="00A8580F">
        <w:rPr>
          <w:rFonts w:ascii="Times New Roman" w:eastAsia="Times New Roman" w:hAnsi="Times New Roman" w:cs="Times New Roman"/>
          <w:color w:val="2E2E2E"/>
          <w:sz w:val="27"/>
          <w:szCs w:val="27"/>
        </w:rPr>
        <w:t>). Taken together, the differences between DOC patients, the high misdiagnosis rate associated with behavioral assessment, and the lack of ground-truth data, pose a critical problem in establishing a robust and reproducible machine learning model. In contrast, a proposed surrogate model of study, namely anesthetic-induced unconsciousness in healthy volunteers, offers the possibility of a within-subjects design, and consequently, rigorously controlled experimental settings (</w:t>
      </w:r>
      <w:bookmarkStart w:id="41" w:name="bbib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Alkire</w:t>
      </w:r>
      <w:proofErr w:type="spellEnd"/>
      <w:r w:rsidRPr="00A8580F">
        <w:rPr>
          <w:rFonts w:ascii="Times New Roman" w:eastAsia="Times New Roman" w:hAnsi="Times New Roman" w:cs="Times New Roman"/>
          <w:color w:val="0C7DBB"/>
          <w:sz w:val="27"/>
          <w:szCs w:val="27"/>
          <w:u w:val="single"/>
        </w:rPr>
        <w:t xml:space="preserve"> et al., 2008</w:t>
      </w:r>
      <w:r w:rsidRPr="00A8580F">
        <w:rPr>
          <w:rFonts w:ascii="Times New Roman" w:eastAsia="Times New Roman" w:hAnsi="Times New Roman" w:cs="Times New Roman"/>
          <w:color w:val="2E2E2E"/>
          <w:sz w:val="27"/>
          <w:szCs w:val="27"/>
        </w:rPr>
        <w:fldChar w:fldCharType="end"/>
      </w:r>
      <w:bookmarkEnd w:id="41"/>
      <w:r w:rsidRPr="00A8580F">
        <w:rPr>
          <w:rFonts w:ascii="Times New Roman" w:eastAsia="Times New Roman" w:hAnsi="Times New Roman" w:cs="Times New Roman"/>
          <w:color w:val="2E2E2E"/>
          <w:sz w:val="27"/>
          <w:szCs w:val="27"/>
        </w:rPr>
        <w:t>; </w:t>
      </w:r>
      <w:bookmarkStart w:id="42" w:name="bbib6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Avidan</w:t>
      </w:r>
      <w:proofErr w:type="spellEnd"/>
      <w:r w:rsidRPr="00A8580F">
        <w:rPr>
          <w:rFonts w:ascii="Times New Roman" w:eastAsia="Times New Roman" w:hAnsi="Times New Roman" w:cs="Times New Roman"/>
          <w:color w:val="0C7DBB"/>
          <w:sz w:val="27"/>
          <w:szCs w:val="27"/>
          <w:u w:val="single"/>
        </w:rPr>
        <w:t>, 2013</w:t>
      </w:r>
      <w:r w:rsidRPr="00A8580F">
        <w:rPr>
          <w:rFonts w:ascii="Times New Roman" w:eastAsia="Times New Roman" w:hAnsi="Times New Roman" w:cs="Times New Roman"/>
          <w:color w:val="2E2E2E"/>
          <w:sz w:val="27"/>
          <w:szCs w:val="27"/>
        </w:rPr>
        <w:fldChar w:fldCharType="end"/>
      </w:r>
      <w:bookmarkEnd w:id="42"/>
      <w:r w:rsidRPr="00A8580F">
        <w:rPr>
          <w:rFonts w:ascii="Times New Roman" w:eastAsia="Times New Roman" w:hAnsi="Times New Roman" w:cs="Times New Roman"/>
          <w:color w:val="2E2E2E"/>
          <w:sz w:val="27"/>
          <w:szCs w:val="27"/>
        </w:rPr>
        <w:t>). Using this paradigm, the consciousness-altering effects of a range of anesthetics have been evaluated in humans, including </w:t>
      </w:r>
      <w:hyperlink r:id="rId15" w:tooltip="Learn more about ketamine from ScienceDirect's AI-generated Topic Pages" w:history="1">
        <w:r w:rsidRPr="00A8580F">
          <w:rPr>
            <w:rFonts w:ascii="Times New Roman" w:eastAsia="Times New Roman" w:hAnsi="Times New Roman" w:cs="Times New Roman"/>
            <w:color w:val="2E2E2E"/>
            <w:sz w:val="27"/>
            <w:szCs w:val="27"/>
            <w:u w:val="single"/>
          </w:rPr>
          <w:t>ketamine</w:t>
        </w:r>
      </w:hyperlink>
      <w:r w:rsidRPr="00A8580F">
        <w:rPr>
          <w:rFonts w:ascii="Times New Roman" w:eastAsia="Times New Roman" w:hAnsi="Times New Roman" w:cs="Times New Roman"/>
          <w:color w:val="2E2E2E"/>
          <w:sz w:val="27"/>
          <w:szCs w:val="27"/>
        </w:rPr>
        <w:t> (</w:t>
      </w:r>
      <w:bookmarkStart w:id="43" w:name="bbib1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Bonhomme et al., 2016</w:t>
      </w:r>
      <w:r w:rsidRPr="00A8580F">
        <w:rPr>
          <w:rFonts w:ascii="Times New Roman" w:eastAsia="Times New Roman" w:hAnsi="Times New Roman" w:cs="Times New Roman"/>
          <w:color w:val="2E2E2E"/>
          <w:sz w:val="27"/>
          <w:szCs w:val="27"/>
        </w:rPr>
        <w:fldChar w:fldCharType="end"/>
      </w:r>
      <w:bookmarkEnd w:id="43"/>
      <w:r w:rsidRPr="00A8580F">
        <w:rPr>
          <w:rFonts w:ascii="Times New Roman" w:eastAsia="Times New Roman" w:hAnsi="Times New Roman" w:cs="Times New Roman"/>
          <w:color w:val="2E2E2E"/>
          <w:sz w:val="27"/>
          <w:szCs w:val="27"/>
        </w:rPr>
        <w:t>), </w:t>
      </w:r>
      <w:hyperlink r:id="rId16" w:tooltip="Learn more about sevoflurane from ScienceDirect's AI-generated Topic Pages" w:history="1">
        <w:r w:rsidRPr="00A8580F">
          <w:rPr>
            <w:rFonts w:ascii="Times New Roman" w:eastAsia="Times New Roman" w:hAnsi="Times New Roman" w:cs="Times New Roman"/>
            <w:color w:val="2E2E2E"/>
            <w:sz w:val="27"/>
            <w:szCs w:val="27"/>
            <w:u w:val="single"/>
          </w:rPr>
          <w:t>sevoflurane</w:t>
        </w:r>
      </w:hyperlink>
      <w:r w:rsidRPr="00A8580F">
        <w:rPr>
          <w:rFonts w:ascii="Times New Roman" w:eastAsia="Times New Roman" w:hAnsi="Times New Roman" w:cs="Times New Roman"/>
          <w:color w:val="2E2E2E"/>
          <w:sz w:val="27"/>
          <w:szCs w:val="27"/>
        </w:rPr>
        <w:t> (</w:t>
      </w:r>
      <w:bookmarkStart w:id="44" w:name="bbib7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Palanca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44"/>
      <w:r w:rsidRPr="00A8580F">
        <w:rPr>
          <w:rFonts w:ascii="Times New Roman" w:eastAsia="Times New Roman" w:hAnsi="Times New Roman" w:cs="Times New Roman"/>
          <w:color w:val="2E2E2E"/>
          <w:sz w:val="27"/>
          <w:szCs w:val="27"/>
        </w:rPr>
        <w:t>), and propofol (</w:t>
      </w:r>
      <w:bookmarkStart w:id="45" w:name="bbib8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Schroter</w:t>
      </w:r>
      <w:proofErr w:type="spellEnd"/>
      <w:r w:rsidRPr="00A8580F">
        <w:rPr>
          <w:rFonts w:ascii="Times New Roman" w:eastAsia="Times New Roman" w:hAnsi="Times New Roman" w:cs="Times New Roman"/>
          <w:color w:val="0C7DBB"/>
          <w:sz w:val="27"/>
          <w:szCs w:val="27"/>
          <w:u w:val="single"/>
        </w:rPr>
        <w:t xml:space="preserve"> et al., 2012</w:t>
      </w:r>
      <w:r w:rsidRPr="00A8580F">
        <w:rPr>
          <w:rFonts w:ascii="Times New Roman" w:eastAsia="Times New Roman" w:hAnsi="Times New Roman" w:cs="Times New Roman"/>
          <w:color w:val="2E2E2E"/>
          <w:sz w:val="27"/>
          <w:szCs w:val="27"/>
        </w:rPr>
        <w:fldChar w:fldCharType="end"/>
      </w:r>
      <w:bookmarkEnd w:id="45"/>
      <w:r w:rsidRPr="00A8580F">
        <w:rPr>
          <w:rFonts w:ascii="Times New Roman" w:eastAsia="Times New Roman" w:hAnsi="Times New Roman" w:cs="Times New Roman"/>
          <w:color w:val="2E2E2E"/>
          <w:sz w:val="27"/>
          <w:szCs w:val="27"/>
        </w:rPr>
        <w:t>).</w:t>
      </w:r>
    </w:p>
    <w:p w14:paraId="5C4D6F9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present study sought to further improve the understanding and diagnosis of DOC by systematically comparing popular machine learning approaches to classification, and by evaluating a novel source of model training data, namely the use of participants during anesthetic-induced unconsciousness. To this end, our aims were to (1) build, optimize and evaluate three distinct classes of machine learning models (i.e. </w:t>
      </w:r>
      <w:hyperlink r:id="rId17" w:tooltip="Learn more about support vector machine from ScienceDirect's AI-generated Topic Pages" w:history="1">
        <w:r w:rsidRPr="00A8580F">
          <w:rPr>
            <w:rFonts w:ascii="Times New Roman" w:eastAsia="Times New Roman" w:hAnsi="Times New Roman" w:cs="Times New Roman"/>
            <w:color w:val="2E2E2E"/>
            <w:sz w:val="27"/>
            <w:szCs w:val="27"/>
            <w:u w:val="single"/>
          </w:rPr>
          <w:t>support vector machine</w:t>
        </w:r>
      </w:hyperlink>
      <w:r w:rsidRPr="00A8580F">
        <w:rPr>
          <w:rFonts w:ascii="Times New Roman" w:eastAsia="Times New Roman" w:hAnsi="Times New Roman" w:cs="Times New Roman"/>
          <w:color w:val="2E2E2E"/>
          <w:sz w:val="27"/>
          <w:szCs w:val="27"/>
        </w:rPr>
        <w:t>, </w:t>
      </w:r>
      <w:r w:rsidRPr="00A8580F">
        <w:rPr>
          <w:rFonts w:ascii="Times New Roman" w:eastAsia="Times New Roman" w:hAnsi="Times New Roman" w:cs="Times New Roman"/>
          <w:i/>
          <w:iCs/>
          <w:color w:val="2E2E2E"/>
          <w:sz w:val="27"/>
          <w:szCs w:val="27"/>
        </w:rPr>
        <w:t>Extra Trees</w:t>
      </w:r>
      <w:r w:rsidRPr="00A8580F">
        <w:rPr>
          <w:rFonts w:ascii="Times New Roman" w:eastAsia="Times New Roman" w:hAnsi="Times New Roman" w:cs="Times New Roman"/>
          <w:color w:val="2E2E2E"/>
          <w:sz w:val="27"/>
          <w:szCs w:val="27"/>
        </w:rPr>
        <w:t xml:space="preserve">, and artificial neural network) for use in distinguishing conscious wakefulness from anesthetic-induced unresponsiveness using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based measures, including local activity (amplitude of low-frequency fluctuations, ALFF), regional homogeneity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and inter-regional functional activity. (2) Evaluate whether machine learning models trained on data collected during anesthesia make reliable generalizations to UWS/VS patients, and (3) explore the feasibility of using the above machine learning models to distinguish intermediate states of consciousness—subjects under light sedation and patients within a minimally conscious state (MCS)—from fully conscious or unconscious subjects.</w:t>
      </w:r>
    </w:p>
    <w:p w14:paraId="21BF4369"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40"/>
          <w:szCs w:val="40"/>
        </w:rPr>
        <w:lastRenderedPageBreak/>
        <w:t>2</w:t>
      </w:r>
      <w:r w:rsidRPr="00A8580F">
        <w:rPr>
          <w:rFonts w:ascii="Times New Roman" w:eastAsia="Times New Roman" w:hAnsi="Times New Roman" w:cs="Times New Roman"/>
          <w:b/>
          <w:bCs/>
          <w:color w:val="505050"/>
          <w:sz w:val="36"/>
          <w:szCs w:val="36"/>
        </w:rPr>
        <w:t>. Methods</w:t>
      </w:r>
    </w:p>
    <w:p w14:paraId="280A6394" w14:textId="6669C1D6" w:rsidR="00CC3F52"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 Participants and fMRI data acquisition</w:t>
      </w:r>
    </w:p>
    <w:p w14:paraId="6AB81B1E" w14:textId="01CCDD9C" w:rsidR="00CC3F52" w:rsidRPr="00CC3F52" w:rsidRDefault="00CC3F52" w:rsidP="00CC3F52">
      <w:pPr>
        <w:rPr>
          <w:rFonts w:ascii="Times New Roman" w:hAnsi="Times New Roman" w:cs="Times New Roman"/>
          <w:sz w:val="28"/>
          <w:szCs w:val="28"/>
        </w:rPr>
      </w:pPr>
      <w:r w:rsidRPr="00CC3F52">
        <w:rPr>
          <w:rFonts w:ascii="Times New Roman" w:hAnsi="Times New Roman" w:cs="Times New Roman"/>
          <w:sz w:val="28"/>
          <w:szCs w:val="28"/>
        </w:rPr>
        <w:t>What is an fMRI scan and how does it work??</w:t>
      </w:r>
    </w:p>
    <w:p w14:paraId="22ADB8DA" w14:textId="6218CBC4" w:rsidR="00CC3F52" w:rsidRPr="00CC3F52" w:rsidRDefault="00CC3F52" w:rsidP="00CC3F52">
      <w:pPr>
        <w:rPr>
          <w:rFonts w:ascii="Times New Roman" w:eastAsia="Times New Roman" w:hAnsi="Times New Roman" w:cs="Times New Roman"/>
          <w:sz w:val="26"/>
          <w:szCs w:val="26"/>
        </w:rPr>
      </w:pPr>
      <w:r w:rsidRPr="00CC3F52">
        <w:rPr>
          <w:rFonts w:ascii="Times New Roman" w:hAnsi="Times New Roman" w:cs="Times New Roman"/>
          <w:sz w:val="26"/>
          <w:szCs w:val="26"/>
        </w:rPr>
        <w:t>An fMRI scan is a functional magnetic resonance imaging scan that measures and maps the brain’s activity. An fMRI scan uses the same technology as an MRI scan. An MRI is a noninvasive test that uses a strong magnetic field and radio waves to create an image of the brain. The image an MRI scan produces is just of organs/tissue, but an fMRI will produce an image showing the blood flow in the brain. By showing the blood flow it will display which parts of the brain are being stimulated.</w:t>
      </w:r>
    </w:p>
    <w:p w14:paraId="5E6A49DD" w14:textId="023E14B9"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fMRI data were collected from a cohort of 83 subjects scanned at two independent research sites (Shanghai and Wisconsin). Dataset 1 involving </w:t>
      </w:r>
      <w:hyperlink r:id="rId18" w:tooltip="Learn more about propofol from ScienceDirect's AI-generated Topic Pages" w:history="1">
        <w:r w:rsidRPr="00A8580F">
          <w:rPr>
            <w:rFonts w:ascii="Times New Roman" w:eastAsia="Times New Roman" w:hAnsi="Times New Roman" w:cs="Times New Roman"/>
            <w:color w:val="2E2E2E"/>
            <w:sz w:val="27"/>
            <w:szCs w:val="27"/>
            <w:u w:val="single"/>
          </w:rPr>
          <w:t>propofol</w:t>
        </w:r>
      </w:hyperlink>
      <w:r w:rsidRPr="00A8580F">
        <w:rPr>
          <w:rFonts w:ascii="Times New Roman" w:eastAsia="Times New Roman" w:hAnsi="Times New Roman" w:cs="Times New Roman"/>
          <w:color w:val="2E2E2E"/>
          <w:sz w:val="27"/>
          <w:szCs w:val="27"/>
        </w:rPr>
        <w:t> and </w:t>
      </w:r>
      <w:hyperlink r:id="rId19" w:tooltip="Learn more about sevoflurane from ScienceDirect's AI-generated Topic Pages" w:history="1">
        <w:r w:rsidRPr="00A8580F">
          <w:rPr>
            <w:rFonts w:ascii="Times New Roman" w:eastAsia="Times New Roman" w:hAnsi="Times New Roman" w:cs="Times New Roman"/>
            <w:color w:val="2E2E2E"/>
            <w:sz w:val="27"/>
            <w:szCs w:val="27"/>
            <w:u w:val="single"/>
          </w:rPr>
          <w:t>sevoflurane</w:t>
        </w:r>
      </w:hyperlink>
      <w:r w:rsidRPr="00A8580F">
        <w:rPr>
          <w:rFonts w:ascii="Times New Roman" w:eastAsia="Times New Roman" w:hAnsi="Times New Roman" w:cs="Times New Roman"/>
          <w:color w:val="2E2E2E"/>
          <w:sz w:val="27"/>
          <w:szCs w:val="27"/>
        </w:rPr>
        <w:t> anesthesia was collected in Shanghai and is hereafter referred to as </w:t>
      </w:r>
      <w:r w:rsidRPr="00A8580F">
        <w:rPr>
          <w:rFonts w:ascii="Times New Roman" w:eastAsia="Times New Roman" w:hAnsi="Times New Roman" w:cs="Times New Roman"/>
          <w:i/>
          <w:iCs/>
          <w:color w:val="2E2E2E"/>
          <w:sz w:val="27"/>
          <w:szCs w:val="27"/>
        </w:rPr>
        <w:t>Anesthesia-SHH</w:t>
      </w:r>
      <w:r w:rsidRPr="00A8580F">
        <w:rPr>
          <w:rFonts w:ascii="Times New Roman" w:eastAsia="Times New Roman" w:hAnsi="Times New Roman" w:cs="Times New Roman"/>
          <w:color w:val="2E2E2E"/>
          <w:sz w:val="27"/>
          <w:szCs w:val="27"/>
        </w:rPr>
        <w:t>. Dataset 2 involving propofol anesthesia was collected in Wisconsin, hereafter referred to as </w:t>
      </w:r>
      <w:r w:rsidRPr="00A8580F">
        <w:rPr>
          <w:rFonts w:ascii="Times New Roman" w:eastAsia="Times New Roman" w:hAnsi="Times New Roman" w:cs="Times New Roman"/>
          <w:i/>
          <w:iCs/>
          <w:color w:val="2E2E2E"/>
          <w:sz w:val="27"/>
          <w:szCs w:val="27"/>
        </w:rPr>
        <w:t>Anesthesia-WI</w:t>
      </w:r>
      <w:r w:rsidRPr="00A8580F">
        <w:rPr>
          <w:rFonts w:ascii="Times New Roman" w:eastAsia="Times New Roman" w:hAnsi="Times New Roman" w:cs="Times New Roman"/>
          <w:color w:val="2E2E2E"/>
          <w:sz w:val="27"/>
          <w:szCs w:val="27"/>
        </w:rPr>
        <w:t>. Dataset 3, hereafter referred to as </w:t>
      </w:r>
      <w:hyperlink r:id="rId20" w:tooltip="Learn more about DOC from ScienceDirect's AI-generated Topic Pages" w:history="1">
        <w:r w:rsidRPr="00A8580F">
          <w:rPr>
            <w:rFonts w:ascii="Times New Roman" w:eastAsia="Times New Roman" w:hAnsi="Times New Roman" w:cs="Times New Roman"/>
            <w:i/>
            <w:iCs/>
            <w:color w:val="2E2E2E"/>
            <w:sz w:val="27"/>
            <w:szCs w:val="27"/>
            <w:u w:val="single"/>
          </w:rPr>
          <w:t>DOC</w:t>
        </w:r>
      </w:hyperlink>
      <w:r w:rsidRPr="00A8580F">
        <w:rPr>
          <w:rFonts w:ascii="Times New Roman" w:eastAsia="Times New Roman" w:hAnsi="Times New Roman" w:cs="Times New Roman"/>
          <w:i/>
          <w:iCs/>
          <w:color w:val="2E2E2E"/>
          <w:sz w:val="27"/>
          <w:szCs w:val="27"/>
        </w:rPr>
        <w:t>,</w:t>
      </w:r>
      <w:r w:rsidRPr="00A8580F">
        <w:rPr>
          <w:rFonts w:ascii="Times New Roman" w:eastAsia="Times New Roman" w:hAnsi="Times New Roman" w:cs="Times New Roman"/>
          <w:color w:val="2E2E2E"/>
          <w:sz w:val="27"/>
          <w:szCs w:val="27"/>
        </w:rPr>
        <w:t> had no anesthetic component, and instead included patients with disorders of consciousness, in addition to healthy controls, and was collected in Shanghai.</w:t>
      </w:r>
    </w:p>
    <w:p w14:paraId="2EA07EA0" w14:textId="77777777" w:rsidR="002E7EFA" w:rsidRPr="00A8580F" w:rsidRDefault="002E7EFA" w:rsidP="002E7EF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2.1.1. Dataset 1: Anesthesia-SHH</w:t>
      </w:r>
    </w:p>
    <w:p w14:paraId="5E2683B5"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dataset has been previously published using analyses different from those applied here (</w:t>
      </w:r>
      <w:bookmarkStart w:id="46" w:name="bbib5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et al., 2018c</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hyperlink r:id="rId21" w:anchor="bib47" w:history="1">
        <w:r w:rsidRPr="00A8580F">
          <w:rPr>
            <w:rFonts w:ascii="Times New Roman" w:eastAsia="Times New Roman" w:hAnsi="Times New Roman" w:cs="Times New Roman"/>
            <w:color w:val="0C7DBB"/>
            <w:sz w:val="27"/>
            <w:szCs w:val="27"/>
            <w:u w:val="single"/>
          </w:rPr>
          <w:t>2018a</w:t>
        </w:r>
      </w:hyperlink>
      <w:r w:rsidRPr="00A8580F">
        <w:rPr>
          <w:rFonts w:ascii="Times New Roman" w:eastAsia="Times New Roman" w:hAnsi="Times New Roman" w:cs="Times New Roman"/>
          <w:color w:val="2E2E2E"/>
          <w:sz w:val="27"/>
          <w:szCs w:val="27"/>
        </w:rPr>
        <w:t>, </w:t>
      </w:r>
      <w:bookmarkStart w:id="47" w:name="bbib4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xml:space="preserve">). The study was approved by the Institutional Review Board (IRB) of </w:t>
      </w:r>
      <w:proofErr w:type="spellStart"/>
      <w:r w:rsidRPr="00A8580F">
        <w:rPr>
          <w:rFonts w:ascii="Times New Roman" w:eastAsia="Times New Roman" w:hAnsi="Times New Roman" w:cs="Times New Roman"/>
          <w:color w:val="2E2E2E"/>
          <w:sz w:val="27"/>
          <w:szCs w:val="27"/>
        </w:rPr>
        <w:t>Huashan</w:t>
      </w:r>
      <w:proofErr w:type="spellEnd"/>
      <w:r w:rsidRPr="00A8580F">
        <w:rPr>
          <w:rFonts w:ascii="Times New Roman" w:eastAsia="Times New Roman" w:hAnsi="Times New Roman" w:cs="Times New Roman"/>
          <w:color w:val="2E2E2E"/>
          <w:sz w:val="27"/>
          <w:szCs w:val="27"/>
        </w:rPr>
        <w:t xml:space="preserve"> Hospital, Fudan University. </w:t>
      </w:r>
      <w:hyperlink r:id="rId22" w:tooltip="Learn more about Informed consent from ScienceDirect's AI-generated Topic Pages" w:history="1">
        <w:r w:rsidRPr="00A8580F">
          <w:rPr>
            <w:rFonts w:ascii="Times New Roman" w:eastAsia="Times New Roman" w:hAnsi="Times New Roman" w:cs="Times New Roman"/>
            <w:color w:val="2E2E2E"/>
            <w:sz w:val="27"/>
            <w:szCs w:val="27"/>
            <w:u w:val="single"/>
          </w:rPr>
          <w:t>Informed consent</w:t>
        </w:r>
      </w:hyperlink>
      <w:r w:rsidRPr="00A8580F">
        <w:rPr>
          <w:rFonts w:ascii="Times New Roman" w:eastAsia="Times New Roman" w:hAnsi="Times New Roman" w:cs="Times New Roman"/>
          <w:color w:val="2E2E2E"/>
          <w:sz w:val="27"/>
          <w:szCs w:val="27"/>
        </w:rPr>
        <w:t> was obtained by all the subjects to participate in the study. Thirty-two right-handed subjects were recruited (male/female: 15/17; age: 26–64 years), who were undergoing an elective trans-sphenoidal approach for resection of a </w:t>
      </w:r>
      <w:hyperlink r:id="rId23" w:tooltip="Learn more about pituitary microadenoma from ScienceDirect's AI-generated Topic Pages" w:history="1">
        <w:r w:rsidRPr="00A8580F">
          <w:rPr>
            <w:rFonts w:ascii="Times New Roman" w:eastAsia="Times New Roman" w:hAnsi="Times New Roman" w:cs="Times New Roman"/>
            <w:color w:val="2E2E2E"/>
            <w:sz w:val="27"/>
            <w:szCs w:val="27"/>
            <w:u w:val="single"/>
          </w:rPr>
          <w:t>pituitary microadenoma</w:t>
        </w:r>
      </w:hyperlink>
      <w:r w:rsidRPr="00A8580F">
        <w:rPr>
          <w:rFonts w:ascii="Times New Roman" w:eastAsia="Times New Roman" w:hAnsi="Times New Roman" w:cs="Times New Roman"/>
          <w:color w:val="2E2E2E"/>
          <w:sz w:val="27"/>
          <w:szCs w:val="27"/>
        </w:rPr>
        <w:t xml:space="preserve">. The pituitary microadenomas were diagnosed by their size (&lt;10 mm in diameter without growing out of the </w:t>
      </w:r>
      <w:proofErr w:type="spellStart"/>
      <w:r w:rsidRPr="00A8580F">
        <w:rPr>
          <w:rFonts w:ascii="Times New Roman" w:eastAsia="Times New Roman" w:hAnsi="Times New Roman" w:cs="Times New Roman"/>
          <w:color w:val="2E2E2E"/>
          <w:sz w:val="27"/>
          <w:szCs w:val="27"/>
        </w:rPr>
        <w:t>sella</w:t>
      </w:r>
      <w:proofErr w:type="spellEnd"/>
      <w:r w:rsidRPr="00A8580F">
        <w:rPr>
          <w:rFonts w:ascii="Times New Roman" w:eastAsia="Times New Roman" w:hAnsi="Times New Roman" w:cs="Times New Roman"/>
          <w:color w:val="2E2E2E"/>
          <w:sz w:val="27"/>
          <w:szCs w:val="27"/>
        </w:rPr>
        <w:t>) based on </w:t>
      </w:r>
      <w:hyperlink r:id="rId24" w:tooltip="Learn more about radiological examinations from ScienceDirect's AI-generated Topic Pages" w:history="1">
        <w:r w:rsidRPr="00A8580F">
          <w:rPr>
            <w:rFonts w:ascii="Times New Roman" w:eastAsia="Times New Roman" w:hAnsi="Times New Roman" w:cs="Times New Roman"/>
            <w:color w:val="2E2E2E"/>
            <w:sz w:val="27"/>
            <w:szCs w:val="27"/>
            <w:u w:val="single"/>
          </w:rPr>
          <w:t>radiological examinations</w:t>
        </w:r>
      </w:hyperlink>
      <w:r w:rsidRPr="00A8580F">
        <w:rPr>
          <w:rFonts w:ascii="Times New Roman" w:eastAsia="Times New Roman" w:hAnsi="Times New Roman" w:cs="Times New Roman"/>
          <w:color w:val="2E2E2E"/>
          <w:sz w:val="27"/>
          <w:szCs w:val="27"/>
        </w:rPr>
        <w:t> and plasma endocrinal parameters. These subjects were ASA (American Society of Anesthesiologists) physical status I or II grade, with no history of </w:t>
      </w:r>
      <w:hyperlink r:id="rId25" w:tooltip="Learn more about craniotomy from ScienceDirect's AI-generated Topic Pages" w:history="1">
        <w:r w:rsidRPr="00A8580F">
          <w:rPr>
            <w:rFonts w:ascii="Times New Roman" w:eastAsia="Times New Roman" w:hAnsi="Times New Roman" w:cs="Times New Roman"/>
            <w:color w:val="2E2E2E"/>
            <w:sz w:val="27"/>
            <w:szCs w:val="27"/>
            <w:u w:val="single"/>
          </w:rPr>
          <w:t>craniotomy</w:t>
        </w:r>
      </w:hyperlink>
      <w:r w:rsidRPr="00A8580F">
        <w:rPr>
          <w:rFonts w:ascii="Times New Roman" w:eastAsia="Times New Roman" w:hAnsi="Times New Roman" w:cs="Times New Roman"/>
          <w:color w:val="2E2E2E"/>
          <w:sz w:val="27"/>
          <w:szCs w:val="27"/>
        </w:rPr>
        <w:t>, cerebral </w:t>
      </w:r>
      <w:hyperlink r:id="rId26" w:tooltip="Learn more about neuropathy from ScienceDirect's AI-generated Topic Pages" w:history="1">
        <w:r w:rsidRPr="00A8580F">
          <w:rPr>
            <w:rFonts w:ascii="Times New Roman" w:eastAsia="Times New Roman" w:hAnsi="Times New Roman" w:cs="Times New Roman"/>
            <w:color w:val="2E2E2E"/>
            <w:sz w:val="27"/>
            <w:szCs w:val="27"/>
            <w:u w:val="single"/>
          </w:rPr>
          <w:t>neuropathy</w:t>
        </w:r>
      </w:hyperlink>
      <w:r w:rsidRPr="00A8580F">
        <w:rPr>
          <w:rFonts w:ascii="Times New Roman" w:eastAsia="Times New Roman" w:hAnsi="Times New Roman" w:cs="Times New Roman"/>
          <w:color w:val="2E2E2E"/>
          <w:sz w:val="27"/>
          <w:szCs w:val="27"/>
        </w:rPr>
        <w:t>, vital organ dysfunction or administration of neuropsychiatric drugs. The subjects had no contraindication for an MRI examination, such as vascular clips or metallic implants. Among them, three subjects had to be excluded from the study and further data analysis because of excessive movements, resulting in 29 subjects for the following analysis.</w:t>
      </w:r>
    </w:p>
    <w:p w14:paraId="0697B0D1"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Twenty-three subjects received propofol anesthetics with light sedation (17 out of 23) and </w:t>
      </w:r>
      <w:hyperlink r:id="rId27" w:tooltip="Learn more about general anesthesia from ScienceDirect's AI-generated Topic Pages" w:history="1">
        <w:r w:rsidRPr="00A8580F">
          <w:rPr>
            <w:rFonts w:ascii="Times New Roman" w:eastAsia="Times New Roman" w:hAnsi="Times New Roman" w:cs="Times New Roman"/>
            <w:color w:val="2E2E2E"/>
            <w:sz w:val="27"/>
            <w:szCs w:val="27"/>
            <w:u w:val="single"/>
          </w:rPr>
          <w:t>general anesthesia</w:t>
        </w:r>
      </w:hyperlink>
      <w:r w:rsidRPr="00A8580F">
        <w:rPr>
          <w:rFonts w:ascii="Times New Roman" w:eastAsia="Times New Roman" w:hAnsi="Times New Roman" w:cs="Times New Roman"/>
          <w:color w:val="2E2E2E"/>
          <w:sz w:val="27"/>
          <w:szCs w:val="27"/>
        </w:rPr>
        <w:t> (n = 23), during which </w:t>
      </w:r>
      <w:hyperlink r:id="rId28" w:tooltip="Learn more about intravenous anesthetic from ScienceDirect's AI-generated Topic Pages" w:history="1">
        <w:r w:rsidRPr="00A8580F">
          <w:rPr>
            <w:rFonts w:ascii="Times New Roman" w:eastAsia="Times New Roman" w:hAnsi="Times New Roman" w:cs="Times New Roman"/>
            <w:color w:val="2E2E2E"/>
            <w:sz w:val="27"/>
            <w:szCs w:val="27"/>
            <w:u w:val="single"/>
          </w:rPr>
          <w:t>intravenous anesthetic</w:t>
        </w:r>
      </w:hyperlink>
      <w:r w:rsidRPr="00A8580F">
        <w:rPr>
          <w:rFonts w:ascii="Times New Roman" w:eastAsia="Times New Roman" w:hAnsi="Times New Roman" w:cs="Times New Roman"/>
          <w:color w:val="2E2E2E"/>
          <w:sz w:val="27"/>
          <w:szCs w:val="27"/>
        </w:rPr>
        <w:t xml:space="preserve"> propofol was infused through an intravenous catheter placed into a vein of the right hand or </w:t>
      </w:r>
      <w:r w:rsidRPr="00A8580F">
        <w:rPr>
          <w:rFonts w:ascii="Times New Roman" w:eastAsia="Times New Roman" w:hAnsi="Times New Roman" w:cs="Times New Roman"/>
          <w:color w:val="2E2E2E"/>
          <w:sz w:val="27"/>
          <w:szCs w:val="27"/>
        </w:rPr>
        <w:lastRenderedPageBreak/>
        <w:t>forearm. Propofol was administered using a target-controlled infusion (TCI) pump to obtain constant effect-site concentration, as estimated by the </w:t>
      </w:r>
      <w:hyperlink r:id="rId29" w:tooltip="Learn more about pharmacokinetic from ScienceDirect's AI-generated Topic Pages" w:history="1">
        <w:r w:rsidRPr="00A8580F">
          <w:rPr>
            <w:rFonts w:ascii="Times New Roman" w:eastAsia="Times New Roman" w:hAnsi="Times New Roman" w:cs="Times New Roman"/>
            <w:color w:val="2E2E2E"/>
            <w:sz w:val="27"/>
            <w:szCs w:val="27"/>
            <w:u w:val="single"/>
          </w:rPr>
          <w:t>pharmacokinetic</w:t>
        </w:r>
      </w:hyperlink>
      <w:r w:rsidRPr="00A8580F">
        <w:rPr>
          <w:rFonts w:ascii="Times New Roman" w:eastAsia="Times New Roman" w:hAnsi="Times New Roman" w:cs="Times New Roman"/>
          <w:color w:val="2E2E2E"/>
          <w:sz w:val="27"/>
          <w:szCs w:val="27"/>
        </w:rPr>
        <w:t> model (</w:t>
      </w:r>
      <w:bookmarkStart w:id="48" w:name="bbib6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Marsh et al., 1991</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hyperlink r:id="rId30" w:tooltip="Learn more about Remifentanil from ScienceDirect's AI-generated Topic Pages" w:history="1">
        <w:r w:rsidRPr="00A8580F">
          <w:rPr>
            <w:rFonts w:ascii="Times New Roman" w:eastAsia="Times New Roman" w:hAnsi="Times New Roman" w:cs="Times New Roman"/>
            <w:color w:val="2E2E2E"/>
            <w:sz w:val="27"/>
            <w:szCs w:val="27"/>
            <w:u w:val="single"/>
          </w:rPr>
          <w:t>Remifentanil</w:t>
        </w:r>
      </w:hyperlink>
      <w:r w:rsidRPr="00A8580F">
        <w:rPr>
          <w:rFonts w:ascii="Times New Roman" w:eastAsia="Times New Roman" w:hAnsi="Times New Roman" w:cs="Times New Roman"/>
          <w:color w:val="2E2E2E"/>
          <w:sz w:val="27"/>
          <w:szCs w:val="27"/>
        </w:rPr>
        <w:t> (1.0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/kg) and </w:t>
      </w:r>
      <w:hyperlink r:id="rId31" w:tooltip="Learn more about succinylcholine from ScienceDirect's AI-generated Topic Pages" w:history="1">
        <w:r w:rsidRPr="00A8580F">
          <w:rPr>
            <w:rFonts w:ascii="Times New Roman" w:eastAsia="Times New Roman" w:hAnsi="Times New Roman" w:cs="Times New Roman"/>
            <w:color w:val="2E2E2E"/>
            <w:sz w:val="27"/>
            <w:szCs w:val="27"/>
            <w:u w:val="single"/>
          </w:rPr>
          <w:t>succinylcholine</w:t>
        </w:r>
      </w:hyperlink>
      <w:r w:rsidRPr="00A8580F">
        <w:rPr>
          <w:rFonts w:ascii="Times New Roman" w:eastAsia="Times New Roman" w:hAnsi="Times New Roman" w:cs="Times New Roman"/>
          <w:color w:val="2E2E2E"/>
          <w:sz w:val="27"/>
          <w:szCs w:val="27"/>
        </w:rPr>
        <w:t> (1.5 mg/kg) were administered to facilitate </w:t>
      </w:r>
      <w:hyperlink r:id="rId32" w:tooltip="Learn more about endotracheal intubation from ScienceDirect's AI-generated Topic Pages" w:history="1">
        <w:r w:rsidRPr="00A8580F">
          <w:rPr>
            <w:rFonts w:ascii="Times New Roman" w:eastAsia="Times New Roman" w:hAnsi="Times New Roman" w:cs="Times New Roman"/>
            <w:color w:val="2E2E2E"/>
            <w:sz w:val="27"/>
            <w:szCs w:val="27"/>
            <w:u w:val="single"/>
          </w:rPr>
          <w:t>endotracheal intubation</w:t>
        </w:r>
      </w:hyperlink>
      <w:r w:rsidRPr="00A8580F">
        <w:rPr>
          <w:rFonts w:ascii="Times New Roman" w:eastAsia="Times New Roman" w:hAnsi="Times New Roman" w:cs="Times New Roman"/>
          <w:color w:val="2E2E2E"/>
          <w:sz w:val="27"/>
          <w:szCs w:val="27"/>
        </w:rPr>
        <w:t> at general anesthesia. TCI concentrations were increased in 0.1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steps beginning at 1.0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until reaching the appropriate effect-site concentration. A 5-min equilibration period was allowed to ensure equilibration of propofol repartition between compartments. The TCI propofol was maintained at a stable effect-site concentration of 1.3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for light sedation, and 4.0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for general anesthesia of which the dose reliably induces an unconscious state. In addition, six subjects received sevoflurane general anesthesia. Induction was completed with 8% sevoflurane in 100% oxygen, adjusting </w:t>
      </w:r>
      <w:hyperlink r:id="rId33" w:tooltip="Learn more about fresh gas flow from ScienceDirect's AI-generated Topic Pages" w:history="1">
        <w:r w:rsidRPr="00A8580F">
          <w:rPr>
            <w:rFonts w:ascii="Times New Roman" w:eastAsia="Times New Roman" w:hAnsi="Times New Roman" w:cs="Times New Roman"/>
            <w:color w:val="2E2E2E"/>
            <w:sz w:val="27"/>
            <w:szCs w:val="27"/>
            <w:u w:val="single"/>
          </w:rPr>
          <w:t>fresh gas flow</w:t>
        </w:r>
      </w:hyperlink>
      <w:r w:rsidRPr="00A8580F">
        <w:rPr>
          <w:rFonts w:ascii="Times New Roman" w:eastAsia="Times New Roman" w:hAnsi="Times New Roman" w:cs="Times New Roman"/>
          <w:color w:val="2E2E2E"/>
          <w:sz w:val="27"/>
          <w:szCs w:val="27"/>
        </w:rPr>
        <w:t> to 6 L/min, combined with remifentanil 1.0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 xml:space="preserve">/kg, succinylcholine 1.0 mg/kg and maintained with 2.6% (1.3 MAC) </w:t>
      </w:r>
      <w:proofErr w:type="spellStart"/>
      <w:r w:rsidRPr="00A8580F">
        <w:rPr>
          <w:rFonts w:ascii="Times New Roman" w:eastAsia="Times New Roman" w:hAnsi="Times New Roman" w:cs="Times New Roman"/>
          <w:color w:val="2E2E2E"/>
          <w:sz w:val="27"/>
          <w:szCs w:val="27"/>
        </w:rPr>
        <w:t>ETsevo</w:t>
      </w:r>
      <w:proofErr w:type="spellEnd"/>
      <w:r w:rsidRPr="00A8580F">
        <w:rPr>
          <w:rFonts w:ascii="Times New Roman" w:eastAsia="Times New Roman" w:hAnsi="Times New Roman" w:cs="Times New Roman"/>
          <w:color w:val="2E2E2E"/>
          <w:sz w:val="27"/>
          <w:szCs w:val="27"/>
        </w:rPr>
        <w:t xml:space="preserve"> in 100% oxygen, fresh gas flow at 2.0 L/min.</w:t>
      </w:r>
    </w:p>
    <w:p w14:paraId="0466F149" w14:textId="5BFA87EA" w:rsidR="002E7EFA"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Behavioral responsiveness was assessed by the </w:t>
      </w:r>
      <w:hyperlink r:id="rId34" w:tooltip="Learn more about Ramsay scale from ScienceDirect's AI-generated Topic Pages" w:history="1">
        <w:r w:rsidRPr="00A8580F">
          <w:rPr>
            <w:rFonts w:ascii="Times New Roman" w:eastAsia="Times New Roman" w:hAnsi="Times New Roman" w:cs="Times New Roman"/>
            <w:color w:val="2E2E2E"/>
            <w:sz w:val="27"/>
            <w:szCs w:val="27"/>
            <w:u w:val="single"/>
          </w:rPr>
          <w:t>Ramsay scale</w:t>
        </w:r>
      </w:hyperlink>
      <w:r w:rsidRPr="00A8580F">
        <w:rPr>
          <w:rFonts w:ascii="Times New Roman" w:eastAsia="Times New Roman" w:hAnsi="Times New Roman" w:cs="Times New Roman"/>
          <w:color w:val="2E2E2E"/>
          <w:sz w:val="27"/>
          <w:szCs w:val="27"/>
        </w:rPr>
        <w:t> (</w:t>
      </w:r>
      <w:bookmarkStart w:id="49" w:name="bbib78"/>
      <w:r w:rsidRPr="00A8580F">
        <w:rPr>
          <w:rFonts w:ascii="Times New Roman" w:eastAsia="Times New Roman" w:hAnsi="Times New Roman" w:cs="Times New Roman"/>
          <w:sz w:val="27"/>
          <w:szCs w:val="27"/>
        </w:rPr>
        <w:t>Ramsay et al., 1974</w:t>
      </w:r>
      <w:bookmarkEnd w:id="49"/>
      <w:r w:rsidRPr="00A8580F">
        <w:rPr>
          <w:rFonts w:ascii="Times New Roman" w:eastAsia="Times New Roman" w:hAnsi="Times New Roman" w:cs="Times New Roman"/>
          <w:sz w:val="27"/>
          <w:szCs w:val="27"/>
        </w:rPr>
        <w:t xml:space="preserve">) </w:t>
      </w:r>
      <w:r w:rsidRPr="00A8580F">
        <w:rPr>
          <w:rFonts w:ascii="Times New Roman" w:eastAsia="Times New Roman" w:hAnsi="Times New Roman" w:cs="Times New Roman"/>
          <w:color w:val="2E2E2E"/>
          <w:sz w:val="27"/>
          <w:szCs w:val="27"/>
        </w:rPr>
        <w:t>(</w:t>
      </w:r>
      <w:bookmarkStart w:id="50" w:name="bfig1"/>
      <w:r w:rsidRPr="00A8580F">
        <w:rPr>
          <w:rFonts w:ascii="Times New Roman" w:eastAsia="Times New Roman" w:hAnsi="Times New Roman" w:cs="Times New Roman"/>
          <w:sz w:val="27"/>
          <w:szCs w:val="27"/>
        </w:rPr>
        <w:t>Fig. 1a</w:t>
      </w:r>
      <w:r w:rsidRPr="00A8580F">
        <w:rPr>
          <w:rFonts w:ascii="Times New Roman" w:eastAsia="Times New Roman" w:hAnsi="Times New Roman" w:cs="Times New Roman"/>
          <w:color w:val="2E2E2E"/>
          <w:sz w:val="27"/>
          <w:szCs w:val="27"/>
        </w:rPr>
        <w:t>). The subjects were asked to strongly squeeze the hand of the investigator. The subject is considered fully awake if the response to verbal command (“strongly squeeze my hand!”) is clear and strong (Ramsay = 1–2), in mild sedation if the response to verbal command is clear but slow (Ramsay = 3–4), and in </w:t>
      </w:r>
      <w:hyperlink r:id="rId35" w:tooltip="Learn more about deep sedation from ScienceDirect's AI-generated Topic Pages" w:history="1">
        <w:r w:rsidRPr="00A8580F">
          <w:rPr>
            <w:rFonts w:ascii="Times New Roman" w:eastAsia="Times New Roman" w:hAnsi="Times New Roman" w:cs="Times New Roman"/>
            <w:color w:val="2E2E2E"/>
            <w:sz w:val="27"/>
            <w:szCs w:val="27"/>
            <w:u w:val="single"/>
          </w:rPr>
          <w:t>deep sedation</w:t>
        </w:r>
      </w:hyperlink>
      <w:r w:rsidRPr="00A8580F">
        <w:rPr>
          <w:rFonts w:ascii="Times New Roman" w:eastAsia="Times New Roman" w:hAnsi="Times New Roman" w:cs="Times New Roman"/>
          <w:color w:val="2E2E2E"/>
          <w:sz w:val="27"/>
          <w:szCs w:val="27"/>
        </w:rPr>
        <w:t> or general anesthesia if there is no response to verbal command (Ramsay = 5–6).</w:t>
      </w:r>
    </w:p>
    <w:p w14:paraId="353D10AC" w14:textId="77777777" w:rsidR="00C85621" w:rsidRPr="00A8580F" w:rsidRDefault="00C85621" w:rsidP="002E7EFA">
      <w:pPr>
        <w:spacing w:after="0" w:line="240" w:lineRule="auto"/>
        <w:rPr>
          <w:rFonts w:ascii="Times New Roman" w:eastAsia="Times New Roman" w:hAnsi="Times New Roman" w:cs="Times New Roman"/>
          <w:color w:val="2E2E2E"/>
          <w:sz w:val="27"/>
          <w:szCs w:val="27"/>
        </w:rPr>
      </w:pPr>
    </w:p>
    <w:p w14:paraId="7C432933" w14:textId="561B3511"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79E25F4F" wp14:editId="5B6F40F1">
            <wp:extent cx="5943600" cy="2239645"/>
            <wp:effectExtent l="0" t="0" r="0" b="8255"/>
            <wp:docPr id="10" name="Picture 10"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39645"/>
                    </a:xfrm>
                    <a:prstGeom prst="rect">
                      <a:avLst/>
                    </a:prstGeom>
                    <a:noFill/>
                    <a:ln>
                      <a:noFill/>
                    </a:ln>
                  </pic:spPr>
                </pic:pic>
              </a:graphicData>
            </a:graphic>
          </wp:inline>
        </w:drawing>
      </w:r>
    </w:p>
    <w:p w14:paraId="5BF5ECB8" w14:textId="77777777" w:rsidR="00C85621" w:rsidRDefault="00C85621" w:rsidP="00A8580F">
      <w:pPr>
        <w:spacing w:after="0" w:line="330" w:lineRule="atLeast"/>
        <w:ind w:right="360"/>
        <w:rPr>
          <w:rFonts w:ascii="Times New Roman" w:eastAsia="Times New Roman" w:hAnsi="Times New Roman" w:cs="Times New Roman"/>
          <w:color w:val="2E2E2E"/>
          <w:sz w:val="24"/>
          <w:szCs w:val="24"/>
        </w:rPr>
      </w:pPr>
    </w:p>
    <w:p w14:paraId="40F6933C" w14:textId="604897D7" w:rsidR="002E7EFA" w:rsidRPr="00A8580F" w:rsidRDefault="002E7EFA" w:rsidP="00A8580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1. Summary of the different behavioral responsiveness assessments used across the three included datasets.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The </w:t>
      </w:r>
      <w:hyperlink r:id="rId37" w:tooltip="Learn more about Ramsay scale from ScienceDirect's AI-generated Topic Pages" w:history="1">
        <w:r w:rsidRPr="00A8580F">
          <w:rPr>
            <w:rFonts w:ascii="Times New Roman" w:eastAsia="Times New Roman" w:hAnsi="Times New Roman" w:cs="Times New Roman"/>
            <w:color w:val="2E2E2E"/>
            <w:sz w:val="24"/>
            <w:szCs w:val="24"/>
            <w:u w:val="single"/>
          </w:rPr>
          <w:t>Ramsay scale</w:t>
        </w:r>
      </w:hyperlink>
      <w:r w:rsidRPr="00A8580F">
        <w:rPr>
          <w:rFonts w:ascii="Times New Roman" w:eastAsia="Times New Roman" w:hAnsi="Times New Roman" w:cs="Times New Roman"/>
          <w:color w:val="2E2E2E"/>
          <w:sz w:val="24"/>
          <w:szCs w:val="24"/>
        </w:rPr>
        <w:t> (here shown as 1/Ramsay score to facilitate comparison) was applied in the Anesthesia-SHH dataset,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the Observer’s Assessment of Alertness/Sedation (OAAS) scale was applied in the Anesthesia-WI dataset, and the Coma Recover Scale-Revised (CRS-R) was applied in the </w:t>
      </w:r>
      <w:hyperlink r:id="rId38"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dataset.</w:t>
      </w:r>
    </w:p>
    <w:p w14:paraId="4E7B3D49"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subjects continued to breathe spontaneously during wakefulness and light sedation. During general anesthesia, the subjects were ventilated with </w:t>
      </w:r>
      <w:hyperlink r:id="rId39" w:tooltip="Learn more about intermittent positive pressure ventilation from ScienceDirect's AI-generated Topic Pages" w:history="1">
        <w:r w:rsidRPr="00A8580F">
          <w:rPr>
            <w:rFonts w:ascii="Times New Roman" w:eastAsia="Times New Roman" w:hAnsi="Times New Roman" w:cs="Times New Roman"/>
            <w:color w:val="2E2E2E"/>
            <w:sz w:val="27"/>
            <w:szCs w:val="27"/>
            <w:u w:val="single"/>
          </w:rPr>
          <w:t>intermittent positive pressure ventilation</w:t>
        </w:r>
      </w:hyperlink>
      <w:r w:rsidRPr="00A8580F">
        <w:rPr>
          <w:rFonts w:ascii="Times New Roman" w:eastAsia="Times New Roman" w:hAnsi="Times New Roman" w:cs="Times New Roman"/>
          <w:color w:val="2E2E2E"/>
          <w:sz w:val="27"/>
          <w:szCs w:val="27"/>
        </w:rPr>
        <w:t>, setting </w:t>
      </w:r>
      <w:hyperlink r:id="rId40" w:tooltip="Learn more about tidal volume from ScienceDirect's AI-generated Topic Pages" w:history="1">
        <w:r w:rsidRPr="00A8580F">
          <w:rPr>
            <w:rFonts w:ascii="Times New Roman" w:eastAsia="Times New Roman" w:hAnsi="Times New Roman" w:cs="Times New Roman"/>
            <w:color w:val="2E2E2E"/>
            <w:sz w:val="27"/>
            <w:szCs w:val="27"/>
            <w:u w:val="single"/>
          </w:rPr>
          <w:t>tidal volume</w:t>
        </w:r>
      </w:hyperlink>
      <w:r w:rsidRPr="00A8580F">
        <w:rPr>
          <w:rFonts w:ascii="Times New Roman" w:eastAsia="Times New Roman" w:hAnsi="Times New Roman" w:cs="Times New Roman"/>
          <w:color w:val="2E2E2E"/>
          <w:sz w:val="27"/>
          <w:szCs w:val="27"/>
        </w:rPr>
        <w:t> at 8–10 ml/kg, respiratory rate 10–</w:t>
      </w:r>
      <w:r w:rsidRPr="00A8580F">
        <w:rPr>
          <w:rFonts w:ascii="Times New Roman" w:eastAsia="Times New Roman" w:hAnsi="Times New Roman" w:cs="Times New Roman"/>
          <w:color w:val="2E2E2E"/>
          <w:sz w:val="27"/>
          <w:szCs w:val="27"/>
        </w:rPr>
        <w:lastRenderedPageBreak/>
        <w:t>12 beats per minute, and maintaining PetCO</w:t>
      </w:r>
      <w:r w:rsidRPr="00A8580F">
        <w:rPr>
          <w:rFonts w:ascii="Times New Roman" w:eastAsia="Times New Roman" w:hAnsi="Times New Roman" w:cs="Times New Roman"/>
          <w:color w:val="2E2E2E"/>
          <w:sz w:val="20"/>
          <w:szCs w:val="20"/>
          <w:vertAlign w:val="subscript"/>
        </w:rPr>
        <w:t>2</w:t>
      </w:r>
      <w:r w:rsidRPr="00A8580F">
        <w:rPr>
          <w:rFonts w:ascii="Times New Roman" w:eastAsia="Times New Roman" w:hAnsi="Times New Roman" w:cs="Times New Roman"/>
          <w:color w:val="2E2E2E"/>
          <w:sz w:val="27"/>
          <w:szCs w:val="27"/>
        </w:rPr>
        <w:t> (partial pressure of end-tidal CO</w:t>
      </w:r>
      <w:r w:rsidRPr="00A8580F">
        <w:rPr>
          <w:rFonts w:ascii="Times New Roman" w:eastAsia="Times New Roman" w:hAnsi="Times New Roman" w:cs="Times New Roman"/>
          <w:color w:val="2E2E2E"/>
          <w:sz w:val="20"/>
          <w:szCs w:val="20"/>
          <w:vertAlign w:val="subscript"/>
        </w:rPr>
        <w:t>2</w:t>
      </w:r>
      <w:r w:rsidRPr="00A8580F">
        <w:rPr>
          <w:rFonts w:ascii="Times New Roman" w:eastAsia="Times New Roman" w:hAnsi="Times New Roman" w:cs="Times New Roman"/>
          <w:color w:val="2E2E2E"/>
          <w:sz w:val="27"/>
          <w:szCs w:val="27"/>
        </w:rPr>
        <w:t>) at 35–45 mmHg. Two certified anesthesiologists were present throughout the study, and complete resuscitation equipment was always available. Subjects wore </w:t>
      </w:r>
      <w:hyperlink r:id="rId41" w:tooltip="Learn more about earplugs from ScienceDirect's AI-generated Topic Pages" w:history="1">
        <w:r w:rsidRPr="00A8580F">
          <w:rPr>
            <w:rFonts w:ascii="Times New Roman" w:eastAsia="Times New Roman" w:hAnsi="Times New Roman" w:cs="Times New Roman"/>
            <w:color w:val="2E2E2E"/>
            <w:sz w:val="27"/>
            <w:szCs w:val="27"/>
            <w:u w:val="single"/>
          </w:rPr>
          <w:t>earplugs</w:t>
        </w:r>
      </w:hyperlink>
      <w:r w:rsidRPr="00A8580F">
        <w:rPr>
          <w:rFonts w:ascii="Times New Roman" w:eastAsia="Times New Roman" w:hAnsi="Times New Roman" w:cs="Times New Roman"/>
          <w:color w:val="2E2E2E"/>
          <w:sz w:val="27"/>
          <w:szCs w:val="27"/>
        </w:rPr>
        <w:t> and headphones during the fMRI scanning.</w:t>
      </w:r>
    </w:p>
    <w:p w14:paraId="68EB073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Rs-fMRI data acquisition consisted of three 8-min scans in wakefulness baseline (n = 29), light sedation (n = 17) and general anesthesia (n = 29), respectively. The subject’s head was fixed in the scan frame and padded with spongy cushions to minimize head movement. The subjects were asked to relax and assume a comfortable </w:t>
      </w:r>
      <w:hyperlink r:id="rId42" w:tooltip="Learn more about supine position from ScienceDirect's AI-generated Topic Pages" w:history="1">
        <w:r w:rsidRPr="00A8580F">
          <w:rPr>
            <w:rFonts w:ascii="Times New Roman" w:eastAsia="Times New Roman" w:hAnsi="Times New Roman" w:cs="Times New Roman"/>
            <w:color w:val="2E2E2E"/>
            <w:sz w:val="27"/>
            <w:szCs w:val="27"/>
            <w:u w:val="single"/>
          </w:rPr>
          <w:t>supine position</w:t>
        </w:r>
      </w:hyperlink>
      <w:r w:rsidRPr="00A8580F">
        <w:rPr>
          <w:rFonts w:ascii="Times New Roman" w:eastAsia="Times New Roman" w:hAnsi="Times New Roman" w:cs="Times New Roman"/>
          <w:color w:val="2E2E2E"/>
          <w:sz w:val="27"/>
          <w:szCs w:val="27"/>
        </w:rPr>
        <w:t> with their eyes closed during scanning (an eye patch was applied). The subjects were instructed not to concentrate on anything in particular during the resting-state scan. A Siemens 3T scanner (Siemens MAGNETOM, Germany) with a standard 8-channel head coil was used to acquire gradient-echo EPI images of the whole brain (33 slices, repetition time/echo time [TR/TE] = 2000/30 </w:t>
      </w:r>
      <w:proofErr w:type="spellStart"/>
      <w:r w:rsidRPr="00A8580F">
        <w:rPr>
          <w:rFonts w:ascii="Times New Roman" w:eastAsia="Times New Roman" w:hAnsi="Times New Roman" w:cs="Times New Roman"/>
          <w:color w:val="2E2E2E"/>
          <w:sz w:val="27"/>
          <w:szCs w:val="27"/>
        </w:rPr>
        <w:t>ms</w:t>
      </w:r>
      <w:proofErr w:type="spellEnd"/>
      <w:r w:rsidRPr="00A8580F">
        <w:rPr>
          <w:rFonts w:ascii="Times New Roman" w:eastAsia="Times New Roman" w:hAnsi="Times New Roman" w:cs="Times New Roman"/>
          <w:color w:val="2E2E2E"/>
          <w:sz w:val="27"/>
          <w:szCs w:val="27"/>
        </w:rPr>
        <w:t xml:space="preserve">, slice thickness = 5 mm, field of view = 210 mm, flip angle = 90°, image matrix = 64 × 64). High-resolution anatomical images were also acquired for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w:t>
      </w:r>
      <w:proofErr w:type="spellStart"/>
      <w:r w:rsidRPr="00A8580F">
        <w:rPr>
          <w:rFonts w:ascii="Times New Roman" w:eastAsia="Times New Roman" w:hAnsi="Times New Roman" w:cs="Times New Roman"/>
          <w:color w:val="2E2E2E"/>
          <w:sz w:val="27"/>
          <w:szCs w:val="27"/>
        </w:rPr>
        <w:t>coregistration</w:t>
      </w:r>
      <w:proofErr w:type="spellEnd"/>
      <w:r w:rsidRPr="00A8580F">
        <w:rPr>
          <w:rFonts w:ascii="Times New Roman" w:eastAsia="Times New Roman" w:hAnsi="Times New Roman" w:cs="Times New Roman"/>
          <w:color w:val="2E2E2E"/>
          <w:sz w:val="27"/>
          <w:szCs w:val="27"/>
        </w:rPr>
        <w:t>.</w:t>
      </w:r>
    </w:p>
    <w:p w14:paraId="1B809FD3" w14:textId="77777777" w:rsidR="002E7EFA" w:rsidRPr="00A8580F" w:rsidRDefault="002E7EFA" w:rsidP="002E7EF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2.1.2. Dataset 2: Anesthesia-WI</w:t>
      </w:r>
    </w:p>
    <w:p w14:paraId="3080292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dataset has been previously published using analyses different from those applied here (</w:t>
      </w:r>
      <w:hyperlink r:id="rId43" w:anchor="bib47" w:history="1">
        <w:r w:rsidRPr="00A8580F">
          <w:rPr>
            <w:rFonts w:ascii="Times New Roman" w:eastAsia="Times New Roman" w:hAnsi="Times New Roman" w:cs="Times New Roman"/>
            <w:color w:val="0C7DBB"/>
            <w:sz w:val="27"/>
            <w:szCs w:val="27"/>
            <w:u w:val="single"/>
          </w:rPr>
          <w:t>Huang et al., 2018a</w:t>
        </w:r>
      </w:hyperlink>
      <w:r w:rsidRPr="00A8580F">
        <w:rPr>
          <w:rFonts w:ascii="Times New Roman" w:eastAsia="Times New Roman" w:hAnsi="Times New Roman" w:cs="Times New Roman"/>
          <w:color w:val="2E2E2E"/>
          <w:sz w:val="27"/>
          <w:szCs w:val="27"/>
        </w:rPr>
        <w:t>; </w:t>
      </w:r>
      <w:bookmarkStart w:id="51" w:name="bbib5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Liu et al., 2017a</w:t>
      </w:r>
      <w:r w:rsidRPr="00A8580F">
        <w:rPr>
          <w:rFonts w:ascii="Times New Roman" w:eastAsia="Times New Roman" w:hAnsi="Times New Roman" w:cs="Times New Roman"/>
          <w:color w:val="2E2E2E"/>
          <w:sz w:val="27"/>
          <w:szCs w:val="27"/>
        </w:rPr>
        <w:fldChar w:fldCharType="end"/>
      </w:r>
      <w:bookmarkEnd w:id="51"/>
      <w:r w:rsidRPr="00A8580F">
        <w:rPr>
          <w:rFonts w:ascii="Times New Roman" w:eastAsia="Times New Roman" w:hAnsi="Times New Roman" w:cs="Times New Roman"/>
          <w:color w:val="2E2E2E"/>
          <w:sz w:val="27"/>
          <w:szCs w:val="27"/>
        </w:rPr>
        <w:t>, </w:t>
      </w:r>
      <w:bookmarkStart w:id="52" w:name="bbib5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2017b</w:t>
      </w:r>
      <w:r w:rsidRPr="00A8580F">
        <w:rPr>
          <w:rFonts w:ascii="Times New Roman" w:eastAsia="Times New Roman" w:hAnsi="Times New Roman" w:cs="Times New Roman"/>
          <w:color w:val="2E2E2E"/>
          <w:sz w:val="27"/>
          <w:szCs w:val="27"/>
        </w:rPr>
        <w:fldChar w:fldCharType="end"/>
      </w:r>
      <w:bookmarkEnd w:id="52"/>
      <w:r w:rsidRPr="00A8580F">
        <w:rPr>
          <w:rFonts w:ascii="Times New Roman" w:eastAsia="Times New Roman" w:hAnsi="Times New Roman" w:cs="Times New Roman"/>
          <w:color w:val="2E2E2E"/>
          <w:sz w:val="27"/>
          <w:szCs w:val="27"/>
        </w:rPr>
        <w:t>). The Institutional Review Board of Medical College of Wisconsin (MCW) approved the experimental protocol. Fifteen healthy volunteers (male/female 9/6; 19–35 years) received propofol sedation. Four conditions of behavioral responsiveness were determined by OAAS (Observer’s Assessment of Alertness/Sedation) score (</w:t>
      </w:r>
      <w:bookmarkStart w:id="53" w:name="bbib2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Chernik</w:t>
      </w:r>
      <w:proofErr w:type="spellEnd"/>
      <w:r w:rsidRPr="00A8580F">
        <w:rPr>
          <w:rFonts w:ascii="Times New Roman" w:eastAsia="Times New Roman" w:hAnsi="Times New Roman" w:cs="Times New Roman"/>
          <w:color w:val="0C7DBB"/>
          <w:sz w:val="27"/>
          <w:szCs w:val="27"/>
          <w:u w:val="single"/>
        </w:rPr>
        <w:t xml:space="preserve"> et al., 1990</w:t>
      </w:r>
      <w:r w:rsidRPr="00A8580F">
        <w:rPr>
          <w:rFonts w:ascii="Times New Roman" w:eastAsia="Times New Roman" w:hAnsi="Times New Roman" w:cs="Times New Roman"/>
          <w:color w:val="2E2E2E"/>
          <w:sz w:val="27"/>
          <w:szCs w:val="27"/>
        </w:rPr>
        <w:fldChar w:fldCharType="end"/>
      </w:r>
      <w:bookmarkEnd w:id="53"/>
      <w:r w:rsidRPr="00A8580F">
        <w:rPr>
          <w:rFonts w:ascii="Times New Roman" w:eastAsia="Times New Roman" w:hAnsi="Times New Roman" w:cs="Times New Roman"/>
          <w:color w:val="2E2E2E"/>
          <w:sz w:val="27"/>
          <w:szCs w:val="27"/>
        </w:rPr>
        <w:t>), namely wakefulness baseline (OAAS = 5 ± 0), propofol light sedation (OAAS = 4 ± 0), propofol deep sedation (OAAS = 1.9 ± 0.4), and recovery (OAAS = 5 ± 0). During light sedation, volunteers showed lethargic response to verbal commands, and during deep sedation volunteers showed no response to verbal commands (</w:t>
      </w:r>
      <w:hyperlink r:id="rId44" w:anchor="fig1" w:history="1">
        <w:r w:rsidRPr="00A8580F">
          <w:rPr>
            <w:rFonts w:ascii="Times New Roman" w:eastAsia="Times New Roman" w:hAnsi="Times New Roman" w:cs="Times New Roman"/>
            <w:color w:val="0C7DBB"/>
            <w:sz w:val="27"/>
            <w:szCs w:val="27"/>
            <w:u w:val="single"/>
          </w:rPr>
          <w:t>Fig. 1</w:t>
        </w:r>
      </w:hyperlink>
      <w:r w:rsidRPr="00A8580F">
        <w:rPr>
          <w:rFonts w:ascii="Times New Roman" w:eastAsia="Times New Roman" w:hAnsi="Times New Roman" w:cs="Times New Roman"/>
          <w:color w:val="2E2E2E"/>
          <w:sz w:val="27"/>
          <w:szCs w:val="27"/>
        </w:rPr>
        <w:t>b). The corresponding target plasma concentrations vary across subjects (light sedation: 0.98 ± 0.18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deep sedation: 1.88 ± 0.24 </w:t>
      </w:r>
      <w:proofErr w:type="spellStart"/>
      <w:r w:rsidRPr="00A8580F">
        <w:rPr>
          <w:rFonts w:ascii="Times New Roman" w:eastAsia="Times New Roman" w:hAnsi="Times New Roman" w:cs="Times New Roman"/>
          <w:color w:val="2E2E2E"/>
          <w:sz w:val="27"/>
          <w:szCs w:val="27"/>
        </w:rPr>
        <w:t>μg</w:t>
      </w:r>
      <w:proofErr w:type="spellEnd"/>
      <w:r w:rsidRPr="00A8580F">
        <w:rPr>
          <w:rFonts w:ascii="Times New Roman" w:eastAsia="Times New Roman" w:hAnsi="Times New Roman" w:cs="Times New Roman"/>
          <w:color w:val="2E2E2E"/>
          <w:sz w:val="27"/>
          <w:szCs w:val="27"/>
        </w:rPr>
        <w:t>/ml) because of the variability in individual sensitivity to anesthetics. At each level of sedation, the plasma concentration of propofol was maintained at equilibrium by continuously adjusting the </w:t>
      </w:r>
      <w:hyperlink r:id="rId45" w:tooltip="Learn more about infusion rate from ScienceDirect's AI-generated Topic Pages" w:history="1">
        <w:r w:rsidRPr="00A8580F">
          <w:rPr>
            <w:rFonts w:ascii="Times New Roman" w:eastAsia="Times New Roman" w:hAnsi="Times New Roman" w:cs="Times New Roman"/>
            <w:color w:val="2E2E2E"/>
            <w:sz w:val="27"/>
            <w:szCs w:val="27"/>
            <w:u w:val="single"/>
          </w:rPr>
          <w:t>infusion rate</w:t>
        </w:r>
      </w:hyperlink>
      <w:r w:rsidRPr="00A8580F">
        <w:rPr>
          <w:rFonts w:ascii="Times New Roman" w:eastAsia="Times New Roman" w:hAnsi="Times New Roman" w:cs="Times New Roman"/>
          <w:color w:val="2E2E2E"/>
          <w:sz w:val="27"/>
          <w:szCs w:val="27"/>
        </w:rPr>
        <w:t> to maintain the balance between accumulation and elimination of the drug. The infusion rate was manually controlled and guided by the output of a computer simulation developed for target-controlled </w:t>
      </w:r>
      <w:hyperlink r:id="rId46" w:tooltip="Learn more about drug infusion from ScienceDirect's AI-generated Topic Pages" w:history="1">
        <w:r w:rsidRPr="00A8580F">
          <w:rPr>
            <w:rFonts w:ascii="Times New Roman" w:eastAsia="Times New Roman" w:hAnsi="Times New Roman" w:cs="Times New Roman"/>
            <w:color w:val="2E2E2E"/>
            <w:sz w:val="27"/>
            <w:szCs w:val="27"/>
            <w:u w:val="single"/>
          </w:rPr>
          <w:t>drug infusion</w:t>
        </w:r>
      </w:hyperlink>
      <w:r w:rsidRPr="00A8580F">
        <w:rPr>
          <w:rFonts w:ascii="Times New Roman" w:eastAsia="Times New Roman" w:hAnsi="Times New Roman" w:cs="Times New Roman"/>
          <w:color w:val="2E2E2E"/>
          <w:sz w:val="27"/>
          <w:szCs w:val="27"/>
        </w:rPr>
        <w:t> (</w:t>
      </w:r>
      <w:bookmarkStart w:id="54" w:name="bbib8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Shafer, 1996</w:t>
      </w:r>
      <w:r w:rsidRPr="00A8580F">
        <w:rPr>
          <w:rFonts w:ascii="Times New Roman" w:eastAsia="Times New Roman" w:hAnsi="Times New Roman" w:cs="Times New Roman"/>
          <w:color w:val="2E2E2E"/>
          <w:sz w:val="27"/>
          <w:szCs w:val="27"/>
        </w:rPr>
        <w:fldChar w:fldCharType="end"/>
      </w:r>
      <w:bookmarkEnd w:id="54"/>
      <w:r w:rsidRPr="00A8580F">
        <w:rPr>
          <w:rFonts w:ascii="Times New Roman" w:eastAsia="Times New Roman" w:hAnsi="Times New Roman" w:cs="Times New Roman"/>
          <w:color w:val="2E2E2E"/>
          <w:sz w:val="27"/>
          <w:szCs w:val="27"/>
        </w:rPr>
        <w:t>) based on the pharmacokinetic model of propofol (</w:t>
      </w:r>
      <w:hyperlink r:id="rId47" w:anchor="bib62" w:history="1">
        <w:r w:rsidRPr="00A8580F">
          <w:rPr>
            <w:rFonts w:ascii="Times New Roman" w:eastAsia="Times New Roman" w:hAnsi="Times New Roman" w:cs="Times New Roman"/>
            <w:color w:val="0C7DBB"/>
            <w:sz w:val="27"/>
            <w:szCs w:val="27"/>
            <w:u w:val="single"/>
          </w:rPr>
          <w:t>Marsh et al., 1991</w:t>
        </w:r>
      </w:hyperlink>
      <w:bookmarkEnd w:id="48"/>
      <w:r w:rsidRPr="00A8580F">
        <w:rPr>
          <w:rFonts w:ascii="Times New Roman" w:eastAsia="Times New Roman" w:hAnsi="Times New Roman" w:cs="Times New Roman"/>
          <w:color w:val="2E2E2E"/>
          <w:sz w:val="27"/>
          <w:szCs w:val="27"/>
        </w:rPr>
        <w:t>). Standard American Society of Anesthesiologists (ASA) monitoring was conducted during the experiment, including electrocardiogram, noninvasive blood pressure cuff, </w:t>
      </w:r>
      <w:hyperlink r:id="rId48" w:tooltip="Learn more about pulse oximetry from ScienceDirect's AI-generated Topic Pages" w:history="1">
        <w:r w:rsidRPr="00A8580F">
          <w:rPr>
            <w:rFonts w:ascii="Times New Roman" w:eastAsia="Times New Roman" w:hAnsi="Times New Roman" w:cs="Times New Roman"/>
            <w:color w:val="2E2E2E"/>
            <w:sz w:val="27"/>
            <w:szCs w:val="27"/>
            <w:u w:val="single"/>
          </w:rPr>
          <w:t>pulse oximetry</w:t>
        </w:r>
      </w:hyperlink>
      <w:r w:rsidRPr="00A8580F">
        <w:rPr>
          <w:rFonts w:ascii="Times New Roman" w:eastAsia="Times New Roman" w:hAnsi="Times New Roman" w:cs="Times New Roman"/>
          <w:color w:val="2E2E2E"/>
          <w:sz w:val="27"/>
          <w:szCs w:val="27"/>
        </w:rPr>
        <w:t>, and end tidal carbon dioxide gas monitoring. Supplemental oxygen was administered prophylactically via </w:t>
      </w:r>
      <w:hyperlink r:id="rId49" w:tooltip="Learn more about nasal cannula from ScienceDirect's AI-generated Topic Pages" w:history="1">
        <w:r w:rsidRPr="00A8580F">
          <w:rPr>
            <w:rFonts w:ascii="Times New Roman" w:eastAsia="Times New Roman" w:hAnsi="Times New Roman" w:cs="Times New Roman"/>
            <w:color w:val="2E2E2E"/>
            <w:sz w:val="27"/>
            <w:szCs w:val="27"/>
            <w:u w:val="single"/>
          </w:rPr>
          <w:t>nasal cannula</w:t>
        </w:r>
      </w:hyperlink>
      <w:r w:rsidRPr="00A8580F">
        <w:rPr>
          <w:rFonts w:ascii="Times New Roman" w:eastAsia="Times New Roman" w:hAnsi="Times New Roman" w:cs="Times New Roman"/>
          <w:color w:val="2E2E2E"/>
          <w:sz w:val="27"/>
          <w:szCs w:val="27"/>
        </w:rPr>
        <w:t>.</w:t>
      </w:r>
    </w:p>
    <w:p w14:paraId="3FB6E221"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Rs-fMRI data acquisition consisted of four 15-min scans in wakefulness baseline, light and deep sedation, and recovery, respectively. A 3T Signa GE 750 scanner (GE Healthcare, Waukesha, Wisconsin, USA) with a standard 32-channel transmit/receive head coil was used to acquire gradient-echo EPI images of the whole brain (41 slices, TR/TE = 2000/25 </w:t>
      </w:r>
      <w:proofErr w:type="spellStart"/>
      <w:r w:rsidRPr="00A8580F">
        <w:rPr>
          <w:rFonts w:ascii="Times New Roman" w:eastAsia="Times New Roman" w:hAnsi="Times New Roman" w:cs="Times New Roman"/>
          <w:color w:val="2E2E2E"/>
          <w:sz w:val="27"/>
          <w:szCs w:val="27"/>
        </w:rPr>
        <w:t>ms</w:t>
      </w:r>
      <w:proofErr w:type="spellEnd"/>
      <w:r w:rsidRPr="00A8580F">
        <w:rPr>
          <w:rFonts w:ascii="Times New Roman" w:eastAsia="Times New Roman" w:hAnsi="Times New Roman" w:cs="Times New Roman"/>
          <w:color w:val="2E2E2E"/>
          <w:sz w:val="27"/>
          <w:szCs w:val="27"/>
        </w:rPr>
        <w:t xml:space="preserve">, slice thickness = 3.5 mm, field of view = 224 mm, flip angle = 77°, image matrix: 64 × 64). High-resolution anatomical images were also acquired for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w:t>
      </w:r>
      <w:proofErr w:type="spellStart"/>
      <w:r w:rsidRPr="00A8580F">
        <w:rPr>
          <w:rFonts w:ascii="Times New Roman" w:eastAsia="Times New Roman" w:hAnsi="Times New Roman" w:cs="Times New Roman"/>
          <w:color w:val="2E2E2E"/>
          <w:sz w:val="27"/>
          <w:szCs w:val="27"/>
        </w:rPr>
        <w:t>coregistration</w:t>
      </w:r>
      <w:proofErr w:type="spellEnd"/>
      <w:r w:rsidRPr="00A8580F">
        <w:rPr>
          <w:rFonts w:ascii="Times New Roman" w:eastAsia="Times New Roman" w:hAnsi="Times New Roman" w:cs="Times New Roman"/>
          <w:color w:val="2E2E2E"/>
          <w:sz w:val="27"/>
          <w:szCs w:val="27"/>
        </w:rPr>
        <w:t>.</w:t>
      </w:r>
    </w:p>
    <w:p w14:paraId="660DF197" w14:textId="77777777" w:rsidR="002E7EFA" w:rsidRPr="00A8580F" w:rsidRDefault="002E7EFA" w:rsidP="002E7EFA">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2.1.3. Dataset 3: DOC</w:t>
      </w:r>
    </w:p>
    <w:p w14:paraId="3FFA136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dataset has been previously published using analyses different from those applied here (</w:t>
      </w:r>
      <w:hyperlink r:id="rId50" w:anchor="bib47" w:history="1">
        <w:r w:rsidRPr="00A8580F">
          <w:rPr>
            <w:rFonts w:ascii="Times New Roman" w:eastAsia="Times New Roman" w:hAnsi="Times New Roman" w:cs="Times New Roman"/>
            <w:color w:val="0C7DBB"/>
            <w:sz w:val="27"/>
            <w:szCs w:val="27"/>
            <w:u w:val="single"/>
          </w:rPr>
          <w:t>Huang et al., 2018a</w:t>
        </w:r>
      </w:hyperlink>
      <w:r w:rsidRPr="00A8580F">
        <w:rPr>
          <w:rFonts w:ascii="Times New Roman" w:eastAsia="Times New Roman" w:hAnsi="Times New Roman" w:cs="Times New Roman"/>
          <w:color w:val="2E2E2E"/>
          <w:sz w:val="27"/>
          <w:szCs w:val="27"/>
        </w:rPr>
        <w:t>, </w:t>
      </w:r>
      <w:bookmarkStart w:id="55" w:name="bbib5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2016</w:t>
      </w:r>
      <w:r w:rsidRPr="00A8580F">
        <w:rPr>
          <w:rFonts w:ascii="Times New Roman" w:eastAsia="Times New Roman" w:hAnsi="Times New Roman" w:cs="Times New Roman"/>
          <w:color w:val="2E2E2E"/>
          <w:sz w:val="27"/>
          <w:szCs w:val="27"/>
        </w:rPr>
        <w:fldChar w:fldCharType="end"/>
      </w:r>
      <w:bookmarkEnd w:id="55"/>
      <w:r w:rsidRPr="00A8580F">
        <w:rPr>
          <w:rFonts w:ascii="Times New Roman" w:eastAsia="Times New Roman" w:hAnsi="Times New Roman" w:cs="Times New Roman"/>
          <w:color w:val="2E2E2E"/>
          <w:sz w:val="27"/>
          <w:szCs w:val="27"/>
        </w:rPr>
        <w:t>, </w:t>
      </w:r>
      <w:hyperlink r:id="rId51" w:anchor="bib49" w:history="1">
        <w:r w:rsidRPr="00A8580F">
          <w:rPr>
            <w:rFonts w:ascii="Times New Roman" w:eastAsia="Times New Roman" w:hAnsi="Times New Roman" w:cs="Times New Roman"/>
            <w:color w:val="0C7DBB"/>
            <w:sz w:val="27"/>
            <w:szCs w:val="27"/>
            <w:u w:val="single"/>
          </w:rPr>
          <w:t>2014</w:t>
        </w:r>
      </w:hyperlink>
      <w:r w:rsidRPr="00A8580F">
        <w:rPr>
          <w:rFonts w:ascii="Times New Roman" w:eastAsia="Times New Roman" w:hAnsi="Times New Roman" w:cs="Times New Roman"/>
          <w:color w:val="2E2E2E"/>
          <w:sz w:val="27"/>
          <w:szCs w:val="27"/>
        </w:rPr>
        <w:t xml:space="preserve">). The study was approved by the Institutional Review Board (IRB) of </w:t>
      </w:r>
      <w:proofErr w:type="spellStart"/>
      <w:r w:rsidRPr="00A8580F">
        <w:rPr>
          <w:rFonts w:ascii="Times New Roman" w:eastAsia="Times New Roman" w:hAnsi="Times New Roman" w:cs="Times New Roman"/>
          <w:color w:val="2E2E2E"/>
          <w:sz w:val="27"/>
          <w:szCs w:val="27"/>
        </w:rPr>
        <w:t>Huashan</w:t>
      </w:r>
      <w:proofErr w:type="spellEnd"/>
      <w:r w:rsidRPr="00A8580F">
        <w:rPr>
          <w:rFonts w:ascii="Times New Roman" w:eastAsia="Times New Roman" w:hAnsi="Times New Roman" w:cs="Times New Roman"/>
          <w:color w:val="2E2E2E"/>
          <w:sz w:val="27"/>
          <w:szCs w:val="27"/>
        </w:rPr>
        <w:t xml:space="preserve"> Hospital, Fudan University. Informed consent was obtained from the patients’ legal representatives, and from the healthy participants. The dataset included 21 patients (male/female: 18/3) with disorders of consciousness, and 28 healthy control (HC) subjects (male/female: 14/14). The patients were assessed using a standardized behavioral exam—the Coma Recovery Scale-Revised (CRS-R)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Giacino</w:t>
      </w:r>
      <w:proofErr w:type="spellEnd"/>
      <w:r w:rsidRPr="00A8580F">
        <w:rPr>
          <w:rFonts w:ascii="Times New Roman" w:eastAsia="Times New Roman" w:hAnsi="Times New Roman" w:cs="Times New Roman"/>
          <w:color w:val="0C7DBB"/>
          <w:sz w:val="27"/>
          <w:szCs w:val="27"/>
          <w:u w:val="single"/>
        </w:rPr>
        <w:t xml:space="preserve"> et al., 2004</w:t>
      </w:r>
      <w:r w:rsidRPr="00A8580F">
        <w:rPr>
          <w:rFonts w:ascii="Times New Roman" w:eastAsia="Times New Roman" w:hAnsi="Times New Roman" w:cs="Times New Roman"/>
          <w:color w:val="2E2E2E"/>
          <w:sz w:val="27"/>
          <w:szCs w:val="27"/>
        </w:rPr>
        <w:fldChar w:fldCharType="end"/>
      </w:r>
      <w:bookmarkEnd w:id="1"/>
      <w:r w:rsidRPr="00A8580F">
        <w:rPr>
          <w:rFonts w:ascii="Times New Roman" w:eastAsia="Times New Roman" w:hAnsi="Times New Roman" w:cs="Times New Roman"/>
          <w:color w:val="2E2E2E"/>
          <w:sz w:val="27"/>
          <w:szCs w:val="27"/>
        </w:rPr>
        <w:t>)—on the day of fMRI scanning, both before and after scanning (</w:t>
      </w:r>
      <w:hyperlink r:id="rId52" w:anchor="fig1" w:history="1">
        <w:r w:rsidRPr="00A8580F">
          <w:rPr>
            <w:rFonts w:ascii="Times New Roman" w:eastAsia="Times New Roman" w:hAnsi="Times New Roman" w:cs="Times New Roman"/>
            <w:color w:val="0C7DBB"/>
            <w:sz w:val="27"/>
            <w:szCs w:val="27"/>
            <w:u w:val="single"/>
          </w:rPr>
          <w:t>Fig. 1</w:t>
        </w:r>
      </w:hyperlink>
      <w:bookmarkEnd w:id="50"/>
      <w:r w:rsidRPr="00A8580F">
        <w:rPr>
          <w:rFonts w:ascii="Times New Roman" w:eastAsia="Times New Roman" w:hAnsi="Times New Roman" w:cs="Times New Roman"/>
          <w:color w:val="2E2E2E"/>
          <w:sz w:val="27"/>
          <w:szCs w:val="27"/>
        </w:rPr>
        <w:t>c). Of those assessed, 13 patients were diagnosed as UWS/VS, and 8 were diagnosed as </w:t>
      </w:r>
      <w:hyperlink r:id="rId53" w:tooltip="Learn more about MCS from ScienceDirect's AI-generated Topic Pages" w:history="1">
        <w:r w:rsidRPr="00A8580F">
          <w:rPr>
            <w:rFonts w:ascii="Times New Roman" w:eastAsia="Times New Roman" w:hAnsi="Times New Roman" w:cs="Times New Roman"/>
            <w:color w:val="2E2E2E"/>
            <w:sz w:val="27"/>
            <w:szCs w:val="27"/>
            <w:u w:val="single"/>
          </w:rPr>
          <w:t>MCS</w:t>
        </w:r>
      </w:hyperlink>
      <w:r w:rsidRPr="00A8580F">
        <w:rPr>
          <w:rFonts w:ascii="Times New Roman" w:eastAsia="Times New Roman" w:hAnsi="Times New Roman" w:cs="Times New Roman"/>
          <w:color w:val="2E2E2E"/>
          <w:sz w:val="27"/>
          <w:szCs w:val="27"/>
        </w:rPr>
        <w:t> (</w:t>
      </w:r>
      <w:bookmarkStart w:id="56" w:name="btbl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"tbl1"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Table 1</w:t>
      </w:r>
      <w:r w:rsidRPr="00A8580F">
        <w:rPr>
          <w:rFonts w:ascii="Times New Roman" w:eastAsia="Times New Roman" w:hAnsi="Times New Roman" w:cs="Times New Roman"/>
          <w:color w:val="2E2E2E"/>
          <w:sz w:val="27"/>
          <w:szCs w:val="27"/>
        </w:rPr>
        <w:fldChar w:fldCharType="end"/>
      </w:r>
      <w:bookmarkEnd w:id="56"/>
      <w:r w:rsidRPr="00A8580F">
        <w:rPr>
          <w:rFonts w:ascii="Times New Roman" w:eastAsia="Times New Roman" w:hAnsi="Times New Roman" w:cs="Times New Roman"/>
          <w:color w:val="2E2E2E"/>
          <w:sz w:val="27"/>
          <w:szCs w:val="27"/>
        </w:rPr>
        <w:t>).</w:t>
      </w:r>
    </w:p>
    <w:p w14:paraId="77C67528" w14:textId="77777777" w:rsidR="002E7EFA" w:rsidRPr="00A8580F" w:rsidRDefault="002E7EFA" w:rsidP="002E7EFA">
      <w:pPr>
        <w:spacing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1"/>
          <w:szCs w:val="21"/>
        </w:rPr>
        <w:t>Table 1</w:t>
      </w:r>
      <w:r w:rsidRPr="00A8580F">
        <w:rPr>
          <w:rFonts w:ascii="Times New Roman" w:eastAsia="Times New Roman" w:hAnsi="Times New Roman" w:cs="Times New Roman"/>
          <w:color w:val="2E2E2E"/>
          <w:sz w:val="24"/>
          <w:szCs w:val="24"/>
        </w:rPr>
        <w:t>. Clinical information for </w:t>
      </w:r>
      <w:hyperlink r:id="rId54"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0"/>
        <w:gridCol w:w="1452"/>
        <w:gridCol w:w="863"/>
        <w:gridCol w:w="3572"/>
        <w:gridCol w:w="931"/>
        <w:gridCol w:w="1192"/>
      </w:tblGrid>
      <w:tr w:rsidR="002E7EFA" w:rsidRPr="00A8580F" w14:paraId="6AF280C7" w14:textId="77777777" w:rsidTr="002E7EFA">
        <w:trPr>
          <w:tblHeader/>
        </w:trPr>
        <w:tc>
          <w:tcPr>
            <w:tcW w:w="0" w:type="auto"/>
            <w:tcBorders>
              <w:bottom w:val="single" w:sz="6" w:space="0" w:color="EBEBEB"/>
              <w:right w:val="nil"/>
            </w:tcBorders>
            <w:tcMar>
              <w:top w:w="75" w:type="dxa"/>
              <w:left w:w="75" w:type="dxa"/>
              <w:bottom w:w="75" w:type="dxa"/>
              <w:right w:w="75" w:type="dxa"/>
            </w:tcMar>
            <w:hideMark/>
          </w:tcPr>
          <w:p w14:paraId="13898894"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Patient number</w:t>
            </w:r>
          </w:p>
        </w:tc>
        <w:tc>
          <w:tcPr>
            <w:tcW w:w="0" w:type="auto"/>
            <w:tcBorders>
              <w:bottom w:val="single" w:sz="6" w:space="0" w:color="EBEBEB"/>
              <w:right w:val="nil"/>
            </w:tcBorders>
            <w:tcMar>
              <w:top w:w="75" w:type="dxa"/>
              <w:left w:w="75" w:type="dxa"/>
              <w:bottom w:w="75" w:type="dxa"/>
              <w:right w:w="75" w:type="dxa"/>
            </w:tcMar>
            <w:hideMark/>
          </w:tcPr>
          <w:p w14:paraId="1E4951C9"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Gender/Age</w:t>
            </w:r>
          </w:p>
        </w:tc>
        <w:tc>
          <w:tcPr>
            <w:tcW w:w="0" w:type="auto"/>
            <w:tcBorders>
              <w:bottom w:val="single" w:sz="6" w:space="0" w:color="EBEBEB"/>
              <w:right w:val="nil"/>
            </w:tcBorders>
            <w:tcMar>
              <w:top w:w="75" w:type="dxa"/>
              <w:left w:w="75" w:type="dxa"/>
              <w:bottom w:w="75" w:type="dxa"/>
              <w:right w:w="75" w:type="dxa"/>
            </w:tcMar>
            <w:hideMark/>
          </w:tcPr>
          <w:p w14:paraId="7DD35273"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Cause</w:t>
            </w:r>
          </w:p>
        </w:tc>
        <w:tc>
          <w:tcPr>
            <w:tcW w:w="0" w:type="auto"/>
            <w:tcBorders>
              <w:bottom w:val="single" w:sz="6" w:space="0" w:color="EBEBEB"/>
              <w:right w:val="nil"/>
            </w:tcBorders>
            <w:tcMar>
              <w:top w:w="75" w:type="dxa"/>
              <w:left w:w="75" w:type="dxa"/>
              <w:bottom w:w="75" w:type="dxa"/>
              <w:right w:w="75" w:type="dxa"/>
            </w:tcMar>
            <w:hideMark/>
          </w:tcPr>
          <w:p w14:paraId="2F0EFC17"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Time of fMRI (days after insult)</w:t>
            </w:r>
          </w:p>
        </w:tc>
        <w:tc>
          <w:tcPr>
            <w:tcW w:w="0" w:type="auto"/>
            <w:tcBorders>
              <w:bottom w:val="single" w:sz="6" w:space="0" w:color="EBEBEB"/>
              <w:right w:val="nil"/>
            </w:tcBorders>
            <w:tcMar>
              <w:top w:w="75" w:type="dxa"/>
              <w:left w:w="75" w:type="dxa"/>
              <w:bottom w:w="75" w:type="dxa"/>
              <w:right w:w="75" w:type="dxa"/>
            </w:tcMar>
            <w:hideMark/>
          </w:tcPr>
          <w:p w14:paraId="6CE9D100"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CRS-R</w:t>
            </w:r>
          </w:p>
        </w:tc>
        <w:tc>
          <w:tcPr>
            <w:tcW w:w="0" w:type="auto"/>
            <w:tcBorders>
              <w:bottom w:val="single" w:sz="6" w:space="0" w:color="EBEBEB"/>
              <w:right w:val="nil"/>
            </w:tcBorders>
            <w:tcMar>
              <w:top w:w="75" w:type="dxa"/>
              <w:left w:w="75" w:type="dxa"/>
              <w:bottom w:w="75" w:type="dxa"/>
              <w:right w:w="75" w:type="dxa"/>
            </w:tcMar>
            <w:hideMark/>
          </w:tcPr>
          <w:p w14:paraId="6103D440"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Diagnosis</w:t>
            </w:r>
          </w:p>
        </w:tc>
      </w:tr>
      <w:tr w:rsidR="002E7EFA" w:rsidRPr="00A8580F" w14:paraId="5DFD7269" w14:textId="77777777" w:rsidTr="002E7EFA">
        <w:tc>
          <w:tcPr>
            <w:tcW w:w="0" w:type="auto"/>
            <w:tcBorders>
              <w:bottom w:val="nil"/>
              <w:right w:val="nil"/>
            </w:tcBorders>
            <w:tcMar>
              <w:top w:w="75" w:type="dxa"/>
              <w:left w:w="75" w:type="dxa"/>
              <w:bottom w:w="75" w:type="dxa"/>
              <w:right w:w="75" w:type="dxa"/>
            </w:tcMar>
            <w:hideMark/>
          </w:tcPr>
          <w:p w14:paraId="744330D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w:t>
            </w:r>
          </w:p>
        </w:tc>
        <w:tc>
          <w:tcPr>
            <w:tcW w:w="0" w:type="auto"/>
            <w:tcBorders>
              <w:bottom w:val="nil"/>
              <w:right w:val="nil"/>
            </w:tcBorders>
            <w:tcMar>
              <w:top w:w="75" w:type="dxa"/>
              <w:left w:w="75" w:type="dxa"/>
              <w:bottom w:w="75" w:type="dxa"/>
              <w:right w:w="75" w:type="dxa"/>
            </w:tcMar>
            <w:hideMark/>
          </w:tcPr>
          <w:p w14:paraId="50B5FE0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M/37</w:t>
            </w:r>
          </w:p>
        </w:tc>
        <w:tc>
          <w:tcPr>
            <w:tcW w:w="0" w:type="auto"/>
            <w:tcBorders>
              <w:bottom w:val="nil"/>
              <w:right w:val="nil"/>
            </w:tcBorders>
            <w:tcMar>
              <w:top w:w="75" w:type="dxa"/>
              <w:left w:w="75" w:type="dxa"/>
              <w:bottom w:w="75" w:type="dxa"/>
              <w:right w:w="75" w:type="dxa"/>
            </w:tcMar>
            <w:hideMark/>
          </w:tcPr>
          <w:p w14:paraId="70DF1C7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3A5518B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301</w:t>
            </w:r>
          </w:p>
        </w:tc>
        <w:tc>
          <w:tcPr>
            <w:tcW w:w="0" w:type="auto"/>
            <w:tcBorders>
              <w:bottom w:val="nil"/>
              <w:right w:val="nil"/>
            </w:tcBorders>
            <w:tcMar>
              <w:top w:w="75" w:type="dxa"/>
              <w:left w:w="75" w:type="dxa"/>
              <w:bottom w:w="75" w:type="dxa"/>
              <w:right w:w="75" w:type="dxa"/>
            </w:tcMar>
            <w:hideMark/>
          </w:tcPr>
          <w:p w14:paraId="6DA10F2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56CEFE4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4BBFFF0D" w14:textId="77777777" w:rsidTr="002E7EFA">
        <w:tc>
          <w:tcPr>
            <w:tcW w:w="0" w:type="auto"/>
            <w:tcBorders>
              <w:bottom w:val="nil"/>
              <w:right w:val="nil"/>
            </w:tcBorders>
            <w:tcMar>
              <w:top w:w="75" w:type="dxa"/>
              <w:left w:w="75" w:type="dxa"/>
              <w:bottom w:w="75" w:type="dxa"/>
              <w:right w:w="75" w:type="dxa"/>
            </w:tcMar>
            <w:hideMark/>
          </w:tcPr>
          <w:p w14:paraId="5F1AFBB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29375F9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M/78</w:t>
            </w:r>
          </w:p>
        </w:tc>
        <w:tc>
          <w:tcPr>
            <w:tcW w:w="0" w:type="auto"/>
            <w:tcBorders>
              <w:bottom w:val="nil"/>
              <w:right w:val="nil"/>
            </w:tcBorders>
            <w:tcMar>
              <w:top w:w="75" w:type="dxa"/>
              <w:left w:w="75" w:type="dxa"/>
              <w:bottom w:w="75" w:type="dxa"/>
              <w:right w:w="75" w:type="dxa"/>
            </w:tcMar>
            <w:hideMark/>
          </w:tcPr>
          <w:p w14:paraId="4C5B01F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5A673FF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211</w:t>
            </w:r>
          </w:p>
        </w:tc>
        <w:tc>
          <w:tcPr>
            <w:tcW w:w="0" w:type="auto"/>
            <w:tcBorders>
              <w:bottom w:val="nil"/>
              <w:right w:val="nil"/>
            </w:tcBorders>
            <w:tcMar>
              <w:top w:w="75" w:type="dxa"/>
              <w:left w:w="75" w:type="dxa"/>
              <w:bottom w:w="75" w:type="dxa"/>
              <w:right w:w="75" w:type="dxa"/>
            </w:tcMar>
            <w:hideMark/>
          </w:tcPr>
          <w:p w14:paraId="460DBB6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17DB1BA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18B3EF2A" w14:textId="77777777" w:rsidTr="002E7EFA">
        <w:tc>
          <w:tcPr>
            <w:tcW w:w="0" w:type="auto"/>
            <w:tcBorders>
              <w:bottom w:val="nil"/>
              <w:right w:val="nil"/>
            </w:tcBorders>
            <w:tcMar>
              <w:top w:w="75" w:type="dxa"/>
              <w:left w:w="75" w:type="dxa"/>
              <w:bottom w:w="75" w:type="dxa"/>
              <w:right w:w="75" w:type="dxa"/>
            </w:tcMar>
            <w:hideMark/>
          </w:tcPr>
          <w:p w14:paraId="1FA8707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1BEF376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M/51</w:t>
            </w:r>
          </w:p>
        </w:tc>
        <w:tc>
          <w:tcPr>
            <w:tcW w:w="0" w:type="auto"/>
            <w:tcBorders>
              <w:bottom w:val="nil"/>
              <w:right w:val="nil"/>
            </w:tcBorders>
            <w:tcMar>
              <w:top w:w="75" w:type="dxa"/>
              <w:left w:w="75" w:type="dxa"/>
              <w:bottom w:w="75" w:type="dxa"/>
              <w:right w:w="75" w:type="dxa"/>
            </w:tcMar>
            <w:hideMark/>
          </w:tcPr>
          <w:p w14:paraId="432E6BA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66E3ABD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100</w:t>
            </w:r>
          </w:p>
        </w:tc>
        <w:tc>
          <w:tcPr>
            <w:tcW w:w="0" w:type="auto"/>
            <w:tcBorders>
              <w:bottom w:val="nil"/>
              <w:right w:val="nil"/>
            </w:tcBorders>
            <w:tcMar>
              <w:top w:w="75" w:type="dxa"/>
              <w:left w:w="75" w:type="dxa"/>
              <w:bottom w:w="75" w:type="dxa"/>
              <w:right w:w="75" w:type="dxa"/>
            </w:tcMar>
            <w:hideMark/>
          </w:tcPr>
          <w:p w14:paraId="47446BB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26E4203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A821F8F" w14:textId="77777777" w:rsidTr="002E7EFA">
        <w:tc>
          <w:tcPr>
            <w:tcW w:w="0" w:type="auto"/>
            <w:tcBorders>
              <w:bottom w:val="nil"/>
              <w:right w:val="nil"/>
            </w:tcBorders>
            <w:tcMar>
              <w:top w:w="75" w:type="dxa"/>
              <w:left w:w="75" w:type="dxa"/>
              <w:bottom w:w="75" w:type="dxa"/>
              <w:right w:w="75" w:type="dxa"/>
            </w:tcMar>
            <w:hideMark/>
          </w:tcPr>
          <w:p w14:paraId="49EADF4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5285338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M/23</w:t>
            </w:r>
          </w:p>
        </w:tc>
        <w:tc>
          <w:tcPr>
            <w:tcW w:w="0" w:type="auto"/>
            <w:tcBorders>
              <w:bottom w:val="nil"/>
              <w:right w:val="nil"/>
            </w:tcBorders>
            <w:tcMar>
              <w:top w:w="75" w:type="dxa"/>
              <w:left w:w="75" w:type="dxa"/>
              <w:bottom w:w="75" w:type="dxa"/>
              <w:right w:w="75" w:type="dxa"/>
            </w:tcMar>
            <w:hideMark/>
          </w:tcPr>
          <w:p w14:paraId="5B17E3B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HIE</w:t>
            </w:r>
          </w:p>
        </w:tc>
        <w:tc>
          <w:tcPr>
            <w:tcW w:w="0" w:type="auto"/>
            <w:tcBorders>
              <w:bottom w:val="nil"/>
              <w:right w:val="nil"/>
            </w:tcBorders>
            <w:tcMar>
              <w:top w:w="75" w:type="dxa"/>
              <w:left w:w="75" w:type="dxa"/>
              <w:bottom w:w="75" w:type="dxa"/>
              <w:right w:w="75" w:type="dxa"/>
            </w:tcMar>
            <w:hideMark/>
          </w:tcPr>
          <w:p w14:paraId="3E86E8F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244</w:t>
            </w:r>
          </w:p>
        </w:tc>
        <w:tc>
          <w:tcPr>
            <w:tcW w:w="0" w:type="auto"/>
            <w:tcBorders>
              <w:bottom w:val="nil"/>
              <w:right w:val="nil"/>
            </w:tcBorders>
            <w:tcMar>
              <w:top w:w="75" w:type="dxa"/>
              <w:left w:w="75" w:type="dxa"/>
              <w:bottom w:w="75" w:type="dxa"/>
              <w:right w:w="75" w:type="dxa"/>
            </w:tcMar>
            <w:hideMark/>
          </w:tcPr>
          <w:p w14:paraId="58A472F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37DB7E1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3D98DE8B" w14:textId="77777777" w:rsidTr="002E7EFA">
        <w:tc>
          <w:tcPr>
            <w:tcW w:w="0" w:type="auto"/>
            <w:tcBorders>
              <w:bottom w:val="nil"/>
              <w:right w:val="nil"/>
            </w:tcBorders>
            <w:tcMar>
              <w:top w:w="75" w:type="dxa"/>
              <w:left w:w="75" w:type="dxa"/>
              <w:bottom w:w="75" w:type="dxa"/>
              <w:right w:w="75" w:type="dxa"/>
            </w:tcMar>
            <w:hideMark/>
          </w:tcPr>
          <w:p w14:paraId="6D01A8E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73B9C52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M/47</w:t>
            </w:r>
          </w:p>
        </w:tc>
        <w:tc>
          <w:tcPr>
            <w:tcW w:w="0" w:type="auto"/>
            <w:tcBorders>
              <w:bottom w:val="nil"/>
              <w:right w:val="nil"/>
            </w:tcBorders>
            <w:tcMar>
              <w:top w:w="75" w:type="dxa"/>
              <w:left w:w="75" w:type="dxa"/>
              <w:bottom w:w="75" w:type="dxa"/>
              <w:right w:w="75" w:type="dxa"/>
            </w:tcMar>
            <w:hideMark/>
          </w:tcPr>
          <w:p w14:paraId="38CCCF7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243FFCE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79</w:t>
            </w:r>
          </w:p>
        </w:tc>
        <w:tc>
          <w:tcPr>
            <w:tcW w:w="0" w:type="auto"/>
            <w:tcBorders>
              <w:bottom w:val="nil"/>
              <w:right w:val="nil"/>
            </w:tcBorders>
            <w:tcMar>
              <w:top w:w="75" w:type="dxa"/>
              <w:left w:w="75" w:type="dxa"/>
              <w:bottom w:w="75" w:type="dxa"/>
              <w:right w:w="75" w:type="dxa"/>
            </w:tcMar>
            <w:hideMark/>
          </w:tcPr>
          <w:p w14:paraId="45D5AFE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9</w:t>
            </w:r>
          </w:p>
        </w:tc>
        <w:tc>
          <w:tcPr>
            <w:tcW w:w="0" w:type="auto"/>
            <w:tcBorders>
              <w:bottom w:val="nil"/>
              <w:right w:val="nil"/>
            </w:tcBorders>
            <w:tcMar>
              <w:top w:w="75" w:type="dxa"/>
              <w:left w:w="75" w:type="dxa"/>
              <w:bottom w:w="75" w:type="dxa"/>
              <w:right w:w="75" w:type="dxa"/>
            </w:tcMar>
            <w:hideMark/>
          </w:tcPr>
          <w:p w14:paraId="31CA6BD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48EF725D" w14:textId="77777777" w:rsidTr="002E7EFA">
        <w:tc>
          <w:tcPr>
            <w:tcW w:w="0" w:type="auto"/>
            <w:tcBorders>
              <w:bottom w:val="nil"/>
              <w:right w:val="nil"/>
            </w:tcBorders>
            <w:tcMar>
              <w:top w:w="75" w:type="dxa"/>
              <w:left w:w="75" w:type="dxa"/>
              <w:bottom w:w="75" w:type="dxa"/>
              <w:right w:w="75" w:type="dxa"/>
            </w:tcMar>
            <w:hideMark/>
          </w:tcPr>
          <w:p w14:paraId="2C9E4B7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4FC3082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M/48</w:t>
            </w:r>
          </w:p>
        </w:tc>
        <w:tc>
          <w:tcPr>
            <w:tcW w:w="0" w:type="auto"/>
            <w:tcBorders>
              <w:bottom w:val="nil"/>
              <w:right w:val="nil"/>
            </w:tcBorders>
            <w:tcMar>
              <w:top w:w="75" w:type="dxa"/>
              <w:left w:w="75" w:type="dxa"/>
              <w:bottom w:w="75" w:type="dxa"/>
              <w:right w:w="75" w:type="dxa"/>
            </w:tcMar>
            <w:hideMark/>
          </w:tcPr>
          <w:p w14:paraId="081D734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6CDD195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78</w:t>
            </w:r>
          </w:p>
        </w:tc>
        <w:tc>
          <w:tcPr>
            <w:tcW w:w="0" w:type="auto"/>
            <w:tcBorders>
              <w:bottom w:val="nil"/>
              <w:right w:val="nil"/>
            </w:tcBorders>
            <w:tcMar>
              <w:top w:w="75" w:type="dxa"/>
              <w:left w:w="75" w:type="dxa"/>
              <w:bottom w:w="75" w:type="dxa"/>
              <w:right w:w="75" w:type="dxa"/>
            </w:tcMar>
            <w:hideMark/>
          </w:tcPr>
          <w:p w14:paraId="79227D5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3B3059B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47A052BC" w14:textId="77777777" w:rsidTr="002E7EFA">
        <w:tc>
          <w:tcPr>
            <w:tcW w:w="0" w:type="auto"/>
            <w:tcBorders>
              <w:bottom w:val="nil"/>
              <w:right w:val="nil"/>
            </w:tcBorders>
            <w:tcMar>
              <w:top w:w="75" w:type="dxa"/>
              <w:left w:w="75" w:type="dxa"/>
              <w:bottom w:w="75" w:type="dxa"/>
              <w:right w:w="75" w:type="dxa"/>
            </w:tcMar>
            <w:hideMark/>
          </w:tcPr>
          <w:p w14:paraId="2503374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076D2C7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M/58</w:t>
            </w:r>
          </w:p>
        </w:tc>
        <w:tc>
          <w:tcPr>
            <w:tcW w:w="0" w:type="auto"/>
            <w:tcBorders>
              <w:bottom w:val="nil"/>
              <w:right w:val="nil"/>
            </w:tcBorders>
            <w:tcMar>
              <w:top w:w="75" w:type="dxa"/>
              <w:left w:w="75" w:type="dxa"/>
              <w:bottom w:w="75" w:type="dxa"/>
              <w:right w:w="75" w:type="dxa"/>
            </w:tcMar>
            <w:hideMark/>
          </w:tcPr>
          <w:p w14:paraId="024F7A2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3E0D97A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83</w:t>
            </w:r>
          </w:p>
        </w:tc>
        <w:tc>
          <w:tcPr>
            <w:tcW w:w="0" w:type="auto"/>
            <w:tcBorders>
              <w:bottom w:val="nil"/>
              <w:right w:val="nil"/>
            </w:tcBorders>
            <w:tcMar>
              <w:top w:w="75" w:type="dxa"/>
              <w:left w:w="75" w:type="dxa"/>
              <w:bottom w:w="75" w:type="dxa"/>
              <w:right w:w="75" w:type="dxa"/>
            </w:tcMar>
            <w:hideMark/>
          </w:tcPr>
          <w:p w14:paraId="2A800D6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0D8F258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3F6361F3" w14:textId="77777777" w:rsidTr="002E7EFA">
        <w:tc>
          <w:tcPr>
            <w:tcW w:w="0" w:type="auto"/>
            <w:tcBorders>
              <w:bottom w:val="nil"/>
              <w:right w:val="nil"/>
            </w:tcBorders>
            <w:tcMar>
              <w:top w:w="75" w:type="dxa"/>
              <w:left w:w="75" w:type="dxa"/>
              <w:bottom w:w="75" w:type="dxa"/>
              <w:right w:w="75" w:type="dxa"/>
            </w:tcMar>
            <w:hideMark/>
          </w:tcPr>
          <w:p w14:paraId="6C92DF3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8</w:t>
            </w:r>
          </w:p>
        </w:tc>
        <w:tc>
          <w:tcPr>
            <w:tcW w:w="0" w:type="auto"/>
            <w:tcBorders>
              <w:bottom w:val="nil"/>
              <w:right w:val="nil"/>
            </w:tcBorders>
            <w:tcMar>
              <w:top w:w="75" w:type="dxa"/>
              <w:left w:w="75" w:type="dxa"/>
              <w:bottom w:w="75" w:type="dxa"/>
              <w:right w:w="75" w:type="dxa"/>
            </w:tcMar>
            <w:hideMark/>
          </w:tcPr>
          <w:p w14:paraId="5989666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M/66</w:t>
            </w:r>
          </w:p>
        </w:tc>
        <w:tc>
          <w:tcPr>
            <w:tcW w:w="0" w:type="auto"/>
            <w:tcBorders>
              <w:bottom w:val="nil"/>
              <w:right w:val="nil"/>
            </w:tcBorders>
            <w:tcMar>
              <w:top w:w="75" w:type="dxa"/>
              <w:left w:w="75" w:type="dxa"/>
              <w:bottom w:w="75" w:type="dxa"/>
              <w:right w:w="75" w:type="dxa"/>
            </w:tcMar>
            <w:hideMark/>
          </w:tcPr>
          <w:p w14:paraId="0729F37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HIH</w:t>
            </w:r>
          </w:p>
        </w:tc>
        <w:tc>
          <w:tcPr>
            <w:tcW w:w="0" w:type="auto"/>
            <w:tcBorders>
              <w:bottom w:val="nil"/>
              <w:right w:val="nil"/>
            </w:tcBorders>
            <w:tcMar>
              <w:top w:w="75" w:type="dxa"/>
              <w:left w:w="75" w:type="dxa"/>
              <w:bottom w:w="75" w:type="dxa"/>
              <w:right w:w="75" w:type="dxa"/>
            </w:tcMar>
            <w:hideMark/>
          </w:tcPr>
          <w:p w14:paraId="6F6D7CE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280</w:t>
            </w:r>
          </w:p>
        </w:tc>
        <w:tc>
          <w:tcPr>
            <w:tcW w:w="0" w:type="auto"/>
            <w:tcBorders>
              <w:bottom w:val="nil"/>
              <w:right w:val="nil"/>
            </w:tcBorders>
            <w:tcMar>
              <w:top w:w="75" w:type="dxa"/>
              <w:left w:w="75" w:type="dxa"/>
              <w:bottom w:w="75" w:type="dxa"/>
              <w:right w:w="75" w:type="dxa"/>
            </w:tcMar>
            <w:hideMark/>
          </w:tcPr>
          <w:p w14:paraId="565DD35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688131E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67081816" w14:textId="77777777" w:rsidTr="002E7EFA">
        <w:tc>
          <w:tcPr>
            <w:tcW w:w="0" w:type="auto"/>
            <w:tcBorders>
              <w:bottom w:val="nil"/>
              <w:right w:val="nil"/>
            </w:tcBorders>
            <w:tcMar>
              <w:top w:w="75" w:type="dxa"/>
              <w:left w:w="75" w:type="dxa"/>
              <w:bottom w:w="75" w:type="dxa"/>
              <w:right w:w="75" w:type="dxa"/>
            </w:tcMar>
            <w:hideMark/>
          </w:tcPr>
          <w:p w14:paraId="62B17F9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9</w:t>
            </w:r>
          </w:p>
        </w:tc>
        <w:tc>
          <w:tcPr>
            <w:tcW w:w="0" w:type="auto"/>
            <w:tcBorders>
              <w:bottom w:val="nil"/>
              <w:right w:val="nil"/>
            </w:tcBorders>
            <w:tcMar>
              <w:top w:w="75" w:type="dxa"/>
              <w:left w:w="75" w:type="dxa"/>
              <w:bottom w:w="75" w:type="dxa"/>
              <w:right w:w="75" w:type="dxa"/>
            </w:tcMar>
            <w:hideMark/>
          </w:tcPr>
          <w:p w14:paraId="4E79B02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M/30</w:t>
            </w:r>
          </w:p>
        </w:tc>
        <w:tc>
          <w:tcPr>
            <w:tcW w:w="0" w:type="auto"/>
            <w:tcBorders>
              <w:bottom w:val="nil"/>
              <w:right w:val="nil"/>
            </w:tcBorders>
            <w:tcMar>
              <w:top w:w="75" w:type="dxa"/>
              <w:left w:w="75" w:type="dxa"/>
              <w:bottom w:w="75" w:type="dxa"/>
              <w:right w:w="75" w:type="dxa"/>
            </w:tcMar>
            <w:hideMark/>
          </w:tcPr>
          <w:p w14:paraId="2D67CD9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0247ED2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26</w:t>
            </w:r>
          </w:p>
        </w:tc>
        <w:tc>
          <w:tcPr>
            <w:tcW w:w="0" w:type="auto"/>
            <w:tcBorders>
              <w:bottom w:val="nil"/>
              <w:right w:val="nil"/>
            </w:tcBorders>
            <w:tcMar>
              <w:top w:w="75" w:type="dxa"/>
              <w:left w:w="75" w:type="dxa"/>
              <w:bottom w:w="75" w:type="dxa"/>
              <w:right w:w="75" w:type="dxa"/>
            </w:tcMar>
            <w:hideMark/>
          </w:tcPr>
          <w:p w14:paraId="1C60F6D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4EE94BA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5B4401AE" w14:textId="77777777" w:rsidTr="002E7EFA">
        <w:tc>
          <w:tcPr>
            <w:tcW w:w="0" w:type="auto"/>
            <w:tcBorders>
              <w:bottom w:val="nil"/>
              <w:right w:val="nil"/>
            </w:tcBorders>
            <w:tcMar>
              <w:top w:w="75" w:type="dxa"/>
              <w:left w:w="75" w:type="dxa"/>
              <w:bottom w:w="75" w:type="dxa"/>
              <w:right w:w="75" w:type="dxa"/>
            </w:tcMar>
            <w:hideMark/>
          </w:tcPr>
          <w:p w14:paraId="3C90FCB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213B50C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M/8</w:t>
            </w:r>
          </w:p>
        </w:tc>
        <w:tc>
          <w:tcPr>
            <w:tcW w:w="0" w:type="auto"/>
            <w:tcBorders>
              <w:bottom w:val="nil"/>
              <w:right w:val="nil"/>
            </w:tcBorders>
            <w:tcMar>
              <w:top w:w="75" w:type="dxa"/>
              <w:left w:w="75" w:type="dxa"/>
              <w:bottom w:w="75" w:type="dxa"/>
              <w:right w:w="75" w:type="dxa"/>
            </w:tcMar>
            <w:hideMark/>
          </w:tcPr>
          <w:p w14:paraId="7B96651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P-CPR</w:t>
            </w:r>
          </w:p>
        </w:tc>
        <w:tc>
          <w:tcPr>
            <w:tcW w:w="0" w:type="auto"/>
            <w:tcBorders>
              <w:bottom w:val="nil"/>
              <w:right w:val="nil"/>
            </w:tcBorders>
            <w:tcMar>
              <w:top w:w="75" w:type="dxa"/>
              <w:left w:w="75" w:type="dxa"/>
              <w:bottom w:w="75" w:type="dxa"/>
              <w:right w:w="75" w:type="dxa"/>
            </w:tcMar>
            <w:hideMark/>
          </w:tcPr>
          <w:p w14:paraId="53B00C4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65</w:t>
            </w:r>
          </w:p>
        </w:tc>
        <w:tc>
          <w:tcPr>
            <w:tcW w:w="0" w:type="auto"/>
            <w:tcBorders>
              <w:bottom w:val="nil"/>
              <w:right w:val="nil"/>
            </w:tcBorders>
            <w:tcMar>
              <w:top w:w="75" w:type="dxa"/>
              <w:left w:w="75" w:type="dxa"/>
              <w:bottom w:w="75" w:type="dxa"/>
              <w:right w:w="75" w:type="dxa"/>
            </w:tcMar>
            <w:hideMark/>
          </w:tcPr>
          <w:p w14:paraId="23D4B89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w:t>
            </w:r>
          </w:p>
        </w:tc>
        <w:tc>
          <w:tcPr>
            <w:tcW w:w="0" w:type="auto"/>
            <w:tcBorders>
              <w:bottom w:val="nil"/>
              <w:right w:val="nil"/>
            </w:tcBorders>
            <w:tcMar>
              <w:top w:w="75" w:type="dxa"/>
              <w:left w:w="75" w:type="dxa"/>
              <w:bottom w:w="75" w:type="dxa"/>
              <w:right w:w="75" w:type="dxa"/>
            </w:tcMar>
            <w:hideMark/>
          </w:tcPr>
          <w:p w14:paraId="32BB6CA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666CF99" w14:textId="77777777" w:rsidTr="002E7EFA">
        <w:tc>
          <w:tcPr>
            <w:tcW w:w="0" w:type="auto"/>
            <w:tcBorders>
              <w:bottom w:val="nil"/>
              <w:right w:val="nil"/>
            </w:tcBorders>
            <w:tcMar>
              <w:top w:w="75" w:type="dxa"/>
              <w:left w:w="75" w:type="dxa"/>
              <w:bottom w:w="75" w:type="dxa"/>
              <w:right w:w="75" w:type="dxa"/>
            </w:tcMar>
            <w:hideMark/>
          </w:tcPr>
          <w:p w14:paraId="5B01673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11</w:t>
            </w:r>
          </w:p>
        </w:tc>
        <w:tc>
          <w:tcPr>
            <w:tcW w:w="0" w:type="auto"/>
            <w:tcBorders>
              <w:bottom w:val="nil"/>
              <w:right w:val="nil"/>
            </w:tcBorders>
            <w:tcMar>
              <w:top w:w="75" w:type="dxa"/>
              <w:left w:w="75" w:type="dxa"/>
              <w:bottom w:w="75" w:type="dxa"/>
              <w:right w:w="75" w:type="dxa"/>
            </w:tcMar>
            <w:hideMark/>
          </w:tcPr>
          <w:p w14:paraId="5FE0D41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M/18</w:t>
            </w:r>
          </w:p>
        </w:tc>
        <w:tc>
          <w:tcPr>
            <w:tcW w:w="0" w:type="auto"/>
            <w:tcBorders>
              <w:bottom w:val="nil"/>
              <w:right w:val="nil"/>
            </w:tcBorders>
            <w:tcMar>
              <w:top w:w="75" w:type="dxa"/>
              <w:left w:w="75" w:type="dxa"/>
              <w:bottom w:w="75" w:type="dxa"/>
              <w:right w:w="75" w:type="dxa"/>
            </w:tcMar>
            <w:hideMark/>
          </w:tcPr>
          <w:p w14:paraId="4F35318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46BAB4B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30</w:t>
            </w:r>
          </w:p>
        </w:tc>
        <w:tc>
          <w:tcPr>
            <w:tcW w:w="0" w:type="auto"/>
            <w:tcBorders>
              <w:bottom w:val="nil"/>
              <w:right w:val="nil"/>
            </w:tcBorders>
            <w:tcMar>
              <w:top w:w="75" w:type="dxa"/>
              <w:left w:w="75" w:type="dxa"/>
              <w:bottom w:w="75" w:type="dxa"/>
              <w:right w:w="75" w:type="dxa"/>
            </w:tcMar>
            <w:hideMark/>
          </w:tcPr>
          <w:p w14:paraId="03B440D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3528B9A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199382C4" w14:textId="77777777" w:rsidTr="002E7EFA">
        <w:tc>
          <w:tcPr>
            <w:tcW w:w="0" w:type="auto"/>
            <w:tcBorders>
              <w:bottom w:val="nil"/>
              <w:right w:val="nil"/>
            </w:tcBorders>
            <w:tcMar>
              <w:top w:w="75" w:type="dxa"/>
              <w:left w:w="75" w:type="dxa"/>
              <w:bottom w:w="75" w:type="dxa"/>
              <w:right w:w="75" w:type="dxa"/>
            </w:tcMar>
            <w:hideMark/>
          </w:tcPr>
          <w:p w14:paraId="6137068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17037E0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F/32</w:t>
            </w:r>
          </w:p>
        </w:tc>
        <w:tc>
          <w:tcPr>
            <w:tcW w:w="0" w:type="auto"/>
            <w:tcBorders>
              <w:bottom w:val="nil"/>
              <w:right w:val="nil"/>
            </w:tcBorders>
            <w:tcMar>
              <w:top w:w="75" w:type="dxa"/>
              <w:left w:w="75" w:type="dxa"/>
              <w:bottom w:w="75" w:type="dxa"/>
              <w:right w:w="75" w:type="dxa"/>
            </w:tcMar>
            <w:hideMark/>
          </w:tcPr>
          <w:p w14:paraId="7C06C9D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2B79AA7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73</w:t>
            </w:r>
          </w:p>
        </w:tc>
        <w:tc>
          <w:tcPr>
            <w:tcW w:w="0" w:type="auto"/>
            <w:tcBorders>
              <w:bottom w:val="nil"/>
              <w:right w:val="nil"/>
            </w:tcBorders>
            <w:tcMar>
              <w:top w:w="75" w:type="dxa"/>
              <w:left w:w="75" w:type="dxa"/>
              <w:bottom w:w="75" w:type="dxa"/>
              <w:right w:w="75" w:type="dxa"/>
            </w:tcMar>
            <w:hideMark/>
          </w:tcPr>
          <w:p w14:paraId="758CCEE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35EB291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362C97D2" w14:textId="77777777" w:rsidTr="002E7EFA">
        <w:tc>
          <w:tcPr>
            <w:tcW w:w="0" w:type="auto"/>
            <w:tcBorders>
              <w:bottom w:val="nil"/>
              <w:right w:val="nil"/>
            </w:tcBorders>
            <w:tcMar>
              <w:top w:w="75" w:type="dxa"/>
              <w:left w:w="75" w:type="dxa"/>
              <w:bottom w:w="75" w:type="dxa"/>
              <w:right w:w="75" w:type="dxa"/>
            </w:tcMar>
            <w:hideMark/>
          </w:tcPr>
          <w:p w14:paraId="4B0C49E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317C25A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M/55</w:t>
            </w:r>
          </w:p>
        </w:tc>
        <w:tc>
          <w:tcPr>
            <w:tcW w:w="0" w:type="auto"/>
            <w:tcBorders>
              <w:bottom w:val="nil"/>
              <w:right w:val="nil"/>
            </w:tcBorders>
            <w:tcMar>
              <w:top w:w="75" w:type="dxa"/>
              <w:left w:w="75" w:type="dxa"/>
              <w:bottom w:w="75" w:type="dxa"/>
              <w:right w:w="75" w:type="dxa"/>
            </w:tcMar>
            <w:hideMark/>
          </w:tcPr>
          <w:p w14:paraId="02BDE98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4AB5137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106</w:t>
            </w:r>
          </w:p>
        </w:tc>
        <w:tc>
          <w:tcPr>
            <w:tcW w:w="0" w:type="auto"/>
            <w:tcBorders>
              <w:bottom w:val="nil"/>
              <w:right w:val="nil"/>
            </w:tcBorders>
            <w:tcMar>
              <w:top w:w="75" w:type="dxa"/>
              <w:left w:w="75" w:type="dxa"/>
              <w:bottom w:w="75" w:type="dxa"/>
              <w:right w:w="75" w:type="dxa"/>
            </w:tcMar>
            <w:hideMark/>
          </w:tcPr>
          <w:p w14:paraId="1FB9CA1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358B258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42F6DFB4" w14:textId="77777777" w:rsidTr="002E7EFA">
        <w:tc>
          <w:tcPr>
            <w:tcW w:w="0" w:type="auto"/>
            <w:tcBorders>
              <w:bottom w:val="nil"/>
              <w:right w:val="nil"/>
            </w:tcBorders>
            <w:tcMar>
              <w:top w:w="75" w:type="dxa"/>
              <w:left w:w="75" w:type="dxa"/>
              <w:bottom w:w="75" w:type="dxa"/>
              <w:right w:w="75" w:type="dxa"/>
            </w:tcMar>
            <w:hideMark/>
          </w:tcPr>
          <w:p w14:paraId="67C927F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14</w:t>
            </w:r>
          </w:p>
        </w:tc>
        <w:tc>
          <w:tcPr>
            <w:tcW w:w="0" w:type="auto"/>
            <w:tcBorders>
              <w:bottom w:val="nil"/>
              <w:right w:val="nil"/>
            </w:tcBorders>
            <w:tcMar>
              <w:top w:w="75" w:type="dxa"/>
              <w:left w:w="75" w:type="dxa"/>
              <w:bottom w:w="75" w:type="dxa"/>
              <w:right w:w="75" w:type="dxa"/>
            </w:tcMar>
            <w:hideMark/>
          </w:tcPr>
          <w:p w14:paraId="2B0EC59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M/16</w:t>
            </w:r>
          </w:p>
        </w:tc>
        <w:tc>
          <w:tcPr>
            <w:tcW w:w="0" w:type="auto"/>
            <w:tcBorders>
              <w:bottom w:val="nil"/>
              <w:right w:val="nil"/>
            </w:tcBorders>
            <w:tcMar>
              <w:top w:w="75" w:type="dxa"/>
              <w:left w:w="75" w:type="dxa"/>
              <w:bottom w:w="75" w:type="dxa"/>
              <w:right w:w="75" w:type="dxa"/>
            </w:tcMar>
            <w:hideMark/>
          </w:tcPr>
          <w:p w14:paraId="70BECE5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62FE474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803</w:t>
            </w:r>
          </w:p>
        </w:tc>
        <w:tc>
          <w:tcPr>
            <w:tcW w:w="0" w:type="auto"/>
            <w:tcBorders>
              <w:bottom w:val="nil"/>
              <w:right w:val="nil"/>
            </w:tcBorders>
            <w:tcMar>
              <w:top w:w="75" w:type="dxa"/>
              <w:left w:w="75" w:type="dxa"/>
              <w:bottom w:w="75" w:type="dxa"/>
              <w:right w:w="75" w:type="dxa"/>
            </w:tcMar>
            <w:hideMark/>
          </w:tcPr>
          <w:p w14:paraId="5000614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12</w:t>
            </w:r>
          </w:p>
        </w:tc>
        <w:tc>
          <w:tcPr>
            <w:tcW w:w="0" w:type="auto"/>
            <w:tcBorders>
              <w:bottom w:val="nil"/>
              <w:right w:val="nil"/>
            </w:tcBorders>
            <w:tcMar>
              <w:top w:w="75" w:type="dxa"/>
              <w:left w:w="75" w:type="dxa"/>
              <w:bottom w:w="75" w:type="dxa"/>
              <w:right w:w="75" w:type="dxa"/>
            </w:tcMar>
            <w:hideMark/>
          </w:tcPr>
          <w:p w14:paraId="399FCFE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r>
      <w:tr w:rsidR="002E7EFA" w:rsidRPr="00A8580F" w14:paraId="21027FB6" w14:textId="77777777" w:rsidTr="002E7EFA">
        <w:tc>
          <w:tcPr>
            <w:tcW w:w="0" w:type="auto"/>
            <w:tcBorders>
              <w:bottom w:val="nil"/>
              <w:right w:val="nil"/>
            </w:tcBorders>
            <w:tcMar>
              <w:top w:w="75" w:type="dxa"/>
              <w:left w:w="75" w:type="dxa"/>
              <w:bottom w:w="75" w:type="dxa"/>
              <w:right w:w="75" w:type="dxa"/>
            </w:tcMar>
            <w:hideMark/>
          </w:tcPr>
          <w:p w14:paraId="13F0C4A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16B3E58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F/35</w:t>
            </w:r>
          </w:p>
        </w:tc>
        <w:tc>
          <w:tcPr>
            <w:tcW w:w="0" w:type="auto"/>
            <w:tcBorders>
              <w:bottom w:val="nil"/>
              <w:right w:val="nil"/>
            </w:tcBorders>
            <w:tcMar>
              <w:top w:w="75" w:type="dxa"/>
              <w:left w:w="75" w:type="dxa"/>
              <w:bottom w:w="75" w:type="dxa"/>
              <w:right w:w="75" w:type="dxa"/>
            </w:tcMar>
            <w:hideMark/>
          </w:tcPr>
          <w:p w14:paraId="0E781BE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30D2E31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21</w:t>
            </w:r>
          </w:p>
        </w:tc>
        <w:tc>
          <w:tcPr>
            <w:tcW w:w="0" w:type="auto"/>
            <w:tcBorders>
              <w:bottom w:val="nil"/>
              <w:right w:val="nil"/>
            </w:tcBorders>
            <w:tcMar>
              <w:top w:w="75" w:type="dxa"/>
              <w:left w:w="75" w:type="dxa"/>
              <w:bottom w:w="75" w:type="dxa"/>
              <w:right w:w="75" w:type="dxa"/>
            </w:tcMar>
            <w:hideMark/>
          </w:tcPr>
          <w:p w14:paraId="255F3E2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51E0329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E9F78DF" w14:textId="77777777" w:rsidTr="002E7EFA">
        <w:tc>
          <w:tcPr>
            <w:tcW w:w="0" w:type="auto"/>
            <w:tcBorders>
              <w:bottom w:val="nil"/>
              <w:right w:val="nil"/>
            </w:tcBorders>
            <w:tcMar>
              <w:top w:w="75" w:type="dxa"/>
              <w:left w:w="75" w:type="dxa"/>
              <w:bottom w:w="75" w:type="dxa"/>
              <w:right w:w="75" w:type="dxa"/>
            </w:tcMar>
            <w:hideMark/>
          </w:tcPr>
          <w:p w14:paraId="77EA385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lastRenderedPageBreak/>
              <w:t>16</w:t>
            </w:r>
          </w:p>
        </w:tc>
        <w:tc>
          <w:tcPr>
            <w:tcW w:w="0" w:type="auto"/>
            <w:tcBorders>
              <w:bottom w:val="nil"/>
              <w:right w:val="nil"/>
            </w:tcBorders>
            <w:tcMar>
              <w:top w:w="75" w:type="dxa"/>
              <w:left w:w="75" w:type="dxa"/>
              <w:bottom w:w="75" w:type="dxa"/>
              <w:right w:w="75" w:type="dxa"/>
            </w:tcMar>
            <w:hideMark/>
          </w:tcPr>
          <w:p w14:paraId="6F7F550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M/46</w:t>
            </w:r>
          </w:p>
        </w:tc>
        <w:tc>
          <w:tcPr>
            <w:tcW w:w="0" w:type="auto"/>
            <w:tcBorders>
              <w:bottom w:val="nil"/>
              <w:right w:val="nil"/>
            </w:tcBorders>
            <w:tcMar>
              <w:top w:w="75" w:type="dxa"/>
              <w:left w:w="75" w:type="dxa"/>
              <w:bottom w:w="75" w:type="dxa"/>
              <w:right w:w="75" w:type="dxa"/>
            </w:tcMar>
            <w:hideMark/>
          </w:tcPr>
          <w:p w14:paraId="02EE43C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09AA75A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18</w:t>
            </w:r>
          </w:p>
        </w:tc>
        <w:tc>
          <w:tcPr>
            <w:tcW w:w="0" w:type="auto"/>
            <w:tcBorders>
              <w:bottom w:val="nil"/>
              <w:right w:val="nil"/>
            </w:tcBorders>
            <w:tcMar>
              <w:top w:w="75" w:type="dxa"/>
              <w:left w:w="75" w:type="dxa"/>
              <w:bottom w:w="75" w:type="dxa"/>
              <w:right w:w="75" w:type="dxa"/>
            </w:tcMar>
            <w:hideMark/>
          </w:tcPr>
          <w:p w14:paraId="6B70F53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677B41F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7595DE64" w14:textId="77777777" w:rsidTr="002E7EFA">
        <w:tc>
          <w:tcPr>
            <w:tcW w:w="0" w:type="auto"/>
            <w:tcBorders>
              <w:bottom w:val="nil"/>
              <w:right w:val="nil"/>
            </w:tcBorders>
            <w:tcMar>
              <w:top w:w="75" w:type="dxa"/>
              <w:left w:w="75" w:type="dxa"/>
              <w:bottom w:w="75" w:type="dxa"/>
              <w:right w:w="75" w:type="dxa"/>
            </w:tcMar>
            <w:hideMark/>
          </w:tcPr>
          <w:p w14:paraId="46ED0DC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17</w:t>
            </w:r>
          </w:p>
        </w:tc>
        <w:tc>
          <w:tcPr>
            <w:tcW w:w="0" w:type="auto"/>
            <w:tcBorders>
              <w:bottom w:val="nil"/>
              <w:right w:val="nil"/>
            </w:tcBorders>
            <w:tcMar>
              <w:top w:w="75" w:type="dxa"/>
              <w:left w:w="75" w:type="dxa"/>
              <w:bottom w:w="75" w:type="dxa"/>
              <w:right w:w="75" w:type="dxa"/>
            </w:tcMar>
            <w:hideMark/>
          </w:tcPr>
          <w:p w14:paraId="0F36746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M/60</w:t>
            </w:r>
          </w:p>
        </w:tc>
        <w:tc>
          <w:tcPr>
            <w:tcW w:w="0" w:type="auto"/>
            <w:tcBorders>
              <w:bottom w:val="nil"/>
              <w:right w:val="nil"/>
            </w:tcBorders>
            <w:tcMar>
              <w:top w:w="75" w:type="dxa"/>
              <w:left w:w="75" w:type="dxa"/>
              <w:bottom w:w="75" w:type="dxa"/>
              <w:right w:w="75" w:type="dxa"/>
            </w:tcMar>
            <w:hideMark/>
          </w:tcPr>
          <w:p w14:paraId="371D00A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6EAE704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109</w:t>
            </w:r>
          </w:p>
        </w:tc>
        <w:tc>
          <w:tcPr>
            <w:tcW w:w="0" w:type="auto"/>
            <w:tcBorders>
              <w:bottom w:val="nil"/>
              <w:right w:val="nil"/>
            </w:tcBorders>
            <w:tcMar>
              <w:top w:w="75" w:type="dxa"/>
              <w:left w:w="75" w:type="dxa"/>
              <w:bottom w:w="75" w:type="dxa"/>
              <w:right w:w="75" w:type="dxa"/>
            </w:tcMar>
            <w:hideMark/>
          </w:tcPr>
          <w:p w14:paraId="3515AEA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1BD92CB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629835DC" w14:textId="77777777" w:rsidTr="002E7EFA">
        <w:tc>
          <w:tcPr>
            <w:tcW w:w="0" w:type="auto"/>
            <w:tcBorders>
              <w:bottom w:val="nil"/>
              <w:right w:val="nil"/>
            </w:tcBorders>
            <w:tcMar>
              <w:top w:w="75" w:type="dxa"/>
              <w:left w:w="75" w:type="dxa"/>
              <w:bottom w:w="75" w:type="dxa"/>
              <w:right w:w="75" w:type="dxa"/>
            </w:tcMar>
            <w:hideMark/>
          </w:tcPr>
          <w:p w14:paraId="1181A81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18</w:t>
            </w:r>
          </w:p>
        </w:tc>
        <w:tc>
          <w:tcPr>
            <w:tcW w:w="0" w:type="auto"/>
            <w:tcBorders>
              <w:bottom w:val="nil"/>
              <w:right w:val="nil"/>
            </w:tcBorders>
            <w:tcMar>
              <w:top w:w="75" w:type="dxa"/>
              <w:left w:w="75" w:type="dxa"/>
              <w:bottom w:w="75" w:type="dxa"/>
              <w:right w:w="75" w:type="dxa"/>
            </w:tcMar>
            <w:hideMark/>
          </w:tcPr>
          <w:p w14:paraId="3619C39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M/46</w:t>
            </w:r>
          </w:p>
        </w:tc>
        <w:tc>
          <w:tcPr>
            <w:tcW w:w="0" w:type="auto"/>
            <w:tcBorders>
              <w:bottom w:val="nil"/>
              <w:right w:val="nil"/>
            </w:tcBorders>
            <w:tcMar>
              <w:top w:w="75" w:type="dxa"/>
              <w:left w:w="75" w:type="dxa"/>
              <w:bottom w:w="75" w:type="dxa"/>
              <w:right w:w="75" w:type="dxa"/>
            </w:tcMar>
            <w:hideMark/>
          </w:tcPr>
          <w:p w14:paraId="15710D7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2D1D412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25</w:t>
            </w:r>
          </w:p>
        </w:tc>
        <w:tc>
          <w:tcPr>
            <w:tcW w:w="0" w:type="auto"/>
            <w:tcBorders>
              <w:bottom w:val="nil"/>
              <w:right w:val="nil"/>
            </w:tcBorders>
            <w:tcMar>
              <w:top w:w="75" w:type="dxa"/>
              <w:left w:w="75" w:type="dxa"/>
              <w:bottom w:w="75" w:type="dxa"/>
              <w:right w:w="75" w:type="dxa"/>
            </w:tcMar>
            <w:hideMark/>
          </w:tcPr>
          <w:p w14:paraId="5659493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3A5B7B5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2E1C980C" w14:textId="77777777" w:rsidTr="002E7EFA">
        <w:tc>
          <w:tcPr>
            <w:tcW w:w="0" w:type="auto"/>
            <w:tcBorders>
              <w:bottom w:val="nil"/>
              <w:right w:val="nil"/>
            </w:tcBorders>
            <w:tcMar>
              <w:top w:w="75" w:type="dxa"/>
              <w:left w:w="75" w:type="dxa"/>
              <w:bottom w:w="75" w:type="dxa"/>
              <w:right w:w="75" w:type="dxa"/>
            </w:tcMar>
            <w:hideMark/>
          </w:tcPr>
          <w:p w14:paraId="0457370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19</w:t>
            </w:r>
          </w:p>
        </w:tc>
        <w:tc>
          <w:tcPr>
            <w:tcW w:w="0" w:type="auto"/>
            <w:tcBorders>
              <w:bottom w:val="nil"/>
              <w:right w:val="nil"/>
            </w:tcBorders>
            <w:tcMar>
              <w:top w:w="75" w:type="dxa"/>
              <w:left w:w="75" w:type="dxa"/>
              <w:bottom w:w="75" w:type="dxa"/>
              <w:right w:w="75" w:type="dxa"/>
            </w:tcMar>
            <w:hideMark/>
          </w:tcPr>
          <w:p w14:paraId="20E6D5E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M/59</w:t>
            </w:r>
          </w:p>
        </w:tc>
        <w:tc>
          <w:tcPr>
            <w:tcW w:w="0" w:type="auto"/>
            <w:tcBorders>
              <w:bottom w:val="nil"/>
              <w:right w:val="nil"/>
            </w:tcBorders>
            <w:tcMar>
              <w:top w:w="75" w:type="dxa"/>
              <w:left w:w="75" w:type="dxa"/>
              <w:bottom w:w="75" w:type="dxa"/>
              <w:right w:w="75" w:type="dxa"/>
            </w:tcMar>
            <w:hideMark/>
          </w:tcPr>
          <w:p w14:paraId="52A9720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4989938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44</w:t>
            </w:r>
          </w:p>
        </w:tc>
        <w:tc>
          <w:tcPr>
            <w:tcW w:w="0" w:type="auto"/>
            <w:tcBorders>
              <w:bottom w:val="nil"/>
              <w:right w:val="nil"/>
            </w:tcBorders>
            <w:tcMar>
              <w:top w:w="75" w:type="dxa"/>
              <w:left w:w="75" w:type="dxa"/>
              <w:bottom w:w="75" w:type="dxa"/>
              <w:right w:w="75" w:type="dxa"/>
            </w:tcMar>
            <w:hideMark/>
          </w:tcPr>
          <w:p w14:paraId="3DEE437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78A0063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1D3774A0" w14:textId="77777777" w:rsidTr="002E7EFA">
        <w:tc>
          <w:tcPr>
            <w:tcW w:w="0" w:type="auto"/>
            <w:tcBorders>
              <w:bottom w:val="nil"/>
              <w:right w:val="nil"/>
            </w:tcBorders>
            <w:tcMar>
              <w:top w:w="75" w:type="dxa"/>
              <w:left w:w="75" w:type="dxa"/>
              <w:bottom w:w="75" w:type="dxa"/>
              <w:right w:w="75" w:type="dxa"/>
            </w:tcMar>
            <w:hideMark/>
          </w:tcPr>
          <w:p w14:paraId="1A01D34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20</w:t>
            </w:r>
          </w:p>
        </w:tc>
        <w:tc>
          <w:tcPr>
            <w:tcW w:w="0" w:type="auto"/>
            <w:tcBorders>
              <w:bottom w:val="nil"/>
              <w:right w:val="nil"/>
            </w:tcBorders>
            <w:tcMar>
              <w:top w:w="75" w:type="dxa"/>
              <w:left w:w="75" w:type="dxa"/>
              <w:bottom w:w="75" w:type="dxa"/>
              <w:right w:w="75" w:type="dxa"/>
            </w:tcMar>
            <w:hideMark/>
          </w:tcPr>
          <w:p w14:paraId="53126F1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F/52</w:t>
            </w:r>
          </w:p>
        </w:tc>
        <w:tc>
          <w:tcPr>
            <w:tcW w:w="0" w:type="auto"/>
            <w:tcBorders>
              <w:bottom w:val="nil"/>
              <w:right w:val="nil"/>
            </w:tcBorders>
            <w:tcMar>
              <w:top w:w="75" w:type="dxa"/>
              <w:left w:w="75" w:type="dxa"/>
              <w:bottom w:w="75" w:type="dxa"/>
              <w:right w:w="75" w:type="dxa"/>
            </w:tcMar>
            <w:hideMark/>
          </w:tcPr>
          <w:p w14:paraId="053C45E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SIH</w:t>
            </w:r>
          </w:p>
        </w:tc>
        <w:tc>
          <w:tcPr>
            <w:tcW w:w="0" w:type="auto"/>
            <w:tcBorders>
              <w:bottom w:val="nil"/>
              <w:right w:val="nil"/>
            </w:tcBorders>
            <w:tcMar>
              <w:top w:w="75" w:type="dxa"/>
              <w:left w:w="75" w:type="dxa"/>
              <w:bottom w:w="75" w:type="dxa"/>
              <w:right w:w="75" w:type="dxa"/>
            </w:tcMar>
            <w:hideMark/>
          </w:tcPr>
          <w:p w14:paraId="7451ACFD"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51</w:t>
            </w:r>
          </w:p>
        </w:tc>
        <w:tc>
          <w:tcPr>
            <w:tcW w:w="0" w:type="auto"/>
            <w:tcBorders>
              <w:bottom w:val="nil"/>
              <w:right w:val="nil"/>
            </w:tcBorders>
            <w:tcMar>
              <w:top w:w="75" w:type="dxa"/>
              <w:left w:w="75" w:type="dxa"/>
              <w:bottom w:w="75" w:type="dxa"/>
              <w:right w:w="75" w:type="dxa"/>
            </w:tcMar>
            <w:hideMark/>
          </w:tcPr>
          <w:p w14:paraId="7C66677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7F9BF5F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r w:rsidR="002E7EFA" w:rsidRPr="00A8580F" w14:paraId="0AB41C46" w14:textId="77777777" w:rsidTr="002E7EFA">
        <w:tc>
          <w:tcPr>
            <w:tcW w:w="0" w:type="auto"/>
            <w:tcBorders>
              <w:bottom w:val="nil"/>
              <w:right w:val="nil"/>
            </w:tcBorders>
            <w:tcMar>
              <w:top w:w="75" w:type="dxa"/>
              <w:left w:w="75" w:type="dxa"/>
              <w:bottom w:w="75" w:type="dxa"/>
              <w:right w:w="75" w:type="dxa"/>
            </w:tcMar>
            <w:hideMark/>
          </w:tcPr>
          <w:p w14:paraId="7381CFA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21</w:t>
            </w:r>
          </w:p>
        </w:tc>
        <w:tc>
          <w:tcPr>
            <w:tcW w:w="0" w:type="auto"/>
            <w:tcBorders>
              <w:bottom w:val="nil"/>
              <w:right w:val="nil"/>
            </w:tcBorders>
            <w:tcMar>
              <w:top w:w="75" w:type="dxa"/>
              <w:left w:w="75" w:type="dxa"/>
              <w:bottom w:w="75" w:type="dxa"/>
              <w:right w:w="75" w:type="dxa"/>
            </w:tcMar>
            <w:hideMark/>
          </w:tcPr>
          <w:p w14:paraId="560815F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M/46</w:t>
            </w:r>
          </w:p>
        </w:tc>
        <w:tc>
          <w:tcPr>
            <w:tcW w:w="0" w:type="auto"/>
            <w:tcBorders>
              <w:bottom w:val="nil"/>
              <w:right w:val="nil"/>
            </w:tcBorders>
            <w:tcMar>
              <w:top w:w="75" w:type="dxa"/>
              <w:left w:w="75" w:type="dxa"/>
              <w:bottom w:w="75" w:type="dxa"/>
              <w:right w:w="75" w:type="dxa"/>
            </w:tcMar>
            <w:hideMark/>
          </w:tcPr>
          <w:p w14:paraId="0F400FA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TBI</w:t>
            </w:r>
          </w:p>
        </w:tc>
        <w:tc>
          <w:tcPr>
            <w:tcW w:w="0" w:type="auto"/>
            <w:tcBorders>
              <w:bottom w:val="nil"/>
              <w:right w:val="nil"/>
            </w:tcBorders>
            <w:tcMar>
              <w:top w:w="75" w:type="dxa"/>
              <w:left w:w="75" w:type="dxa"/>
              <w:bottom w:w="75" w:type="dxa"/>
              <w:right w:w="75" w:type="dxa"/>
            </w:tcMar>
            <w:hideMark/>
          </w:tcPr>
          <w:p w14:paraId="27A47E5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162</w:t>
            </w:r>
          </w:p>
        </w:tc>
        <w:tc>
          <w:tcPr>
            <w:tcW w:w="0" w:type="auto"/>
            <w:tcBorders>
              <w:bottom w:val="nil"/>
              <w:right w:val="nil"/>
            </w:tcBorders>
            <w:tcMar>
              <w:top w:w="75" w:type="dxa"/>
              <w:left w:w="75" w:type="dxa"/>
              <w:bottom w:w="75" w:type="dxa"/>
              <w:right w:w="75" w:type="dxa"/>
            </w:tcMar>
            <w:hideMark/>
          </w:tcPr>
          <w:p w14:paraId="6C8F83D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58C14D0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r>
    </w:tbl>
    <w:p w14:paraId="3AAD550A" w14:textId="77777777" w:rsidR="002E7EFA" w:rsidRPr="00A8580F" w:rsidRDefault="002E7EFA" w:rsidP="002E7EFA">
      <w:pPr>
        <w:spacing w:line="240" w:lineRule="auto"/>
        <w:rPr>
          <w:rFonts w:ascii="Times New Roman" w:eastAsia="Times New Roman" w:hAnsi="Times New Roman" w:cs="Times New Roman"/>
          <w:color w:val="2E2E2E"/>
          <w:sz w:val="21"/>
          <w:szCs w:val="21"/>
        </w:rPr>
      </w:pPr>
      <w:r w:rsidRPr="00A8580F">
        <w:rPr>
          <w:rFonts w:ascii="Times New Roman" w:eastAsia="Times New Roman" w:hAnsi="Times New Roman" w:cs="Times New Roman"/>
          <w:color w:val="2E2E2E"/>
          <w:sz w:val="21"/>
          <w:szCs w:val="21"/>
        </w:rPr>
        <w:t>UWS: unresponsive wakefulness syndrome; </w:t>
      </w:r>
      <w:hyperlink r:id="rId55" w:tooltip="Learn more about MCS from ScienceDirect's AI-generated Topic Pages" w:history="1">
        <w:r w:rsidRPr="00A8580F">
          <w:rPr>
            <w:rFonts w:ascii="Times New Roman" w:eastAsia="Times New Roman" w:hAnsi="Times New Roman" w:cs="Times New Roman"/>
            <w:color w:val="2E2E2E"/>
            <w:sz w:val="21"/>
            <w:szCs w:val="21"/>
            <w:u w:val="single"/>
          </w:rPr>
          <w:t>MCS</w:t>
        </w:r>
      </w:hyperlink>
      <w:r w:rsidRPr="00A8580F">
        <w:rPr>
          <w:rFonts w:ascii="Times New Roman" w:eastAsia="Times New Roman" w:hAnsi="Times New Roman" w:cs="Times New Roman"/>
          <w:color w:val="2E2E2E"/>
          <w:sz w:val="21"/>
          <w:szCs w:val="21"/>
        </w:rPr>
        <w:t>: minimally conscious state; CRS-R: Coma Recovery Scale-Revised; TBI: </w:t>
      </w:r>
      <w:hyperlink r:id="rId56" w:tooltip="Learn more about traumatic brain injury from ScienceDirect's AI-generated Topic Pages" w:history="1">
        <w:r w:rsidRPr="00A8580F">
          <w:rPr>
            <w:rFonts w:ascii="Times New Roman" w:eastAsia="Times New Roman" w:hAnsi="Times New Roman" w:cs="Times New Roman"/>
            <w:color w:val="2E2E2E"/>
            <w:sz w:val="21"/>
            <w:szCs w:val="21"/>
            <w:u w:val="single"/>
          </w:rPr>
          <w:t>traumatic brain injury</w:t>
        </w:r>
      </w:hyperlink>
      <w:r w:rsidRPr="00A8580F">
        <w:rPr>
          <w:rFonts w:ascii="Times New Roman" w:eastAsia="Times New Roman" w:hAnsi="Times New Roman" w:cs="Times New Roman"/>
          <w:color w:val="2E2E2E"/>
          <w:sz w:val="21"/>
          <w:szCs w:val="21"/>
        </w:rPr>
        <w:t>; SIH: spontaneous </w:t>
      </w:r>
      <w:hyperlink r:id="rId57" w:tooltip="Learn more about intracerebral hemorrhage from ScienceDirect's AI-generated Topic Pages" w:history="1">
        <w:r w:rsidRPr="00A8580F">
          <w:rPr>
            <w:rFonts w:ascii="Times New Roman" w:eastAsia="Times New Roman" w:hAnsi="Times New Roman" w:cs="Times New Roman"/>
            <w:color w:val="2E2E2E"/>
            <w:sz w:val="21"/>
            <w:szCs w:val="21"/>
            <w:u w:val="single"/>
          </w:rPr>
          <w:t>intracerebral hemorrhage</w:t>
        </w:r>
      </w:hyperlink>
      <w:r w:rsidRPr="00A8580F">
        <w:rPr>
          <w:rFonts w:ascii="Times New Roman" w:eastAsia="Times New Roman" w:hAnsi="Times New Roman" w:cs="Times New Roman"/>
          <w:color w:val="2E2E2E"/>
          <w:sz w:val="21"/>
          <w:szCs w:val="21"/>
        </w:rPr>
        <w:t xml:space="preserve">; HIH: hypertensive intracerebral hemorrhage; HIE, hypoxic </w:t>
      </w:r>
      <w:proofErr w:type="spellStart"/>
      <w:r w:rsidRPr="00A8580F">
        <w:rPr>
          <w:rFonts w:ascii="Times New Roman" w:eastAsia="Times New Roman" w:hAnsi="Times New Roman" w:cs="Times New Roman"/>
          <w:color w:val="2E2E2E"/>
          <w:sz w:val="21"/>
          <w:szCs w:val="21"/>
        </w:rPr>
        <w:t>ischaemic</w:t>
      </w:r>
      <w:proofErr w:type="spellEnd"/>
      <w:r w:rsidRPr="00A8580F">
        <w:rPr>
          <w:rFonts w:ascii="Times New Roman" w:eastAsia="Times New Roman" w:hAnsi="Times New Roman" w:cs="Times New Roman"/>
          <w:color w:val="2E2E2E"/>
          <w:sz w:val="21"/>
          <w:szCs w:val="21"/>
        </w:rPr>
        <w:t xml:space="preserve"> encephalopathy; P-CPR: post cardiopulmonary resuscitation.</w:t>
      </w:r>
    </w:p>
    <w:p w14:paraId="26A42F89"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None of the healthy controls had a history of neurological or psychiatric disorders, nor were they taking any kind of medication. Of note, the labels used for classification were the patient diagnoses assigned according to their respective CRS-R scores. As mentioned earlier, diagnoses based on behavioral markers may be inaccurate, especially between MCS and USW/VS. Further, since our goal was to differentiate UWS/VS patients from healthy controls, rather than separate UWS/VS patients from MCS patients, we deemed that the CRS-R was the appropriate tool to coarsely define the groups for our classification task.</w:t>
      </w:r>
    </w:p>
    <w:p w14:paraId="03C05884" w14:textId="60157BDD" w:rsidR="002E7EFA"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Rs-fMRI data were acquired on a Siemens 3T scanner (Siemens MAGNETOM, Germany). A standard 8-channel head coil was used to acquire gradient-echo EPI images of the whole brain (33 slices, TR/TE = 2000/35 </w:t>
      </w:r>
      <w:proofErr w:type="spellStart"/>
      <w:r w:rsidRPr="00A8580F">
        <w:rPr>
          <w:rFonts w:ascii="Times New Roman" w:eastAsia="Times New Roman" w:hAnsi="Times New Roman" w:cs="Times New Roman"/>
          <w:color w:val="2E2E2E"/>
          <w:sz w:val="27"/>
          <w:szCs w:val="27"/>
        </w:rPr>
        <w:t>ms</w:t>
      </w:r>
      <w:proofErr w:type="spellEnd"/>
      <w:r w:rsidRPr="00A8580F">
        <w:rPr>
          <w:rFonts w:ascii="Times New Roman" w:eastAsia="Times New Roman" w:hAnsi="Times New Roman" w:cs="Times New Roman"/>
          <w:color w:val="2E2E2E"/>
          <w:sz w:val="27"/>
          <w:szCs w:val="27"/>
        </w:rPr>
        <w:t>, slice thickness = 4 mm, field of view = 256 mm, flip angle = 90°, image matrix = 64 × 64). Two hundred EPI volumes (6 min and 40 s), as well as high-resolution anatomical images, were acquired.</w:t>
      </w:r>
    </w:p>
    <w:p w14:paraId="6A5B9A14" w14:textId="1F0ED7D4" w:rsidR="00E323CE" w:rsidRPr="00E323CE" w:rsidRDefault="00E323CE" w:rsidP="00E323CE">
      <w:pPr>
        <w:spacing w:before="100" w:beforeAutospacing="1" w:after="100" w:afterAutospacing="1" w:line="240" w:lineRule="auto"/>
        <w:outlineLvl w:val="3"/>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2.1.</w:t>
      </w:r>
      <w:r>
        <w:rPr>
          <w:rFonts w:ascii="Times New Roman" w:eastAsia="Times New Roman" w:hAnsi="Times New Roman" w:cs="Times New Roman"/>
          <w:color w:val="2E2E2E"/>
          <w:sz w:val="24"/>
          <w:szCs w:val="24"/>
        </w:rPr>
        <w:t>4</w:t>
      </w:r>
      <w:r w:rsidRPr="00A8580F">
        <w:rPr>
          <w:rFonts w:ascii="Times New Roman" w:eastAsia="Times New Roman" w:hAnsi="Times New Roman" w:cs="Times New Roman"/>
          <w:color w:val="2E2E2E"/>
          <w:sz w:val="24"/>
          <w:szCs w:val="24"/>
        </w:rPr>
        <w:t xml:space="preserve">. Dataset </w:t>
      </w:r>
      <w:r>
        <w:rPr>
          <w:rFonts w:ascii="Times New Roman" w:eastAsia="Times New Roman" w:hAnsi="Times New Roman" w:cs="Times New Roman"/>
          <w:color w:val="2E2E2E"/>
          <w:sz w:val="24"/>
          <w:szCs w:val="24"/>
        </w:rPr>
        <w:t>4</w:t>
      </w:r>
      <w:r w:rsidRPr="00A8580F">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2E2E2E"/>
          <w:sz w:val="24"/>
          <w:szCs w:val="24"/>
        </w:rPr>
        <w:t>EDA</w:t>
      </w:r>
    </w:p>
    <w:p w14:paraId="343AEC7D" w14:textId="203153BF" w:rsidR="00E41A79" w:rsidRDefault="00E41A79" w:rsidP="00E41A79">
      <w:pPr>
        <w:spacing w:before="100" w:beforeAutospacing="1" w:after="60" w:line="240" w:lineRule="auto"/>
        <w:rPr>
          <w:rFonts w:ascii="Arial" w:eastAsia="Times New Roman" w:hAnsi="Arial" w:cs="Arial"/>
          <w:sz w:val="21"/>
          <w:szCs w:val="21"/>
        </w:rPr>
      </w:pPr>
      <w:r>
        <w:rPr>
          <w:rFonts w:ascii="Arial" w:hAnsi="Arial" w:cs="Arial"/>
          <w:sz w:val="21"/>
          <w:szCs w:val="21"/>
        </w:rPr>
        <w:t>There number 4</w:t>
      </w:r>
      <w:r w:rsidRPr="00E41A79">
        <w:rPr>
          <w:rFonts w:ascii="Arial" w:hAnsi="Arial" w:cs="Arial"/>
          <w:sz w:val="21"/>
          <w:szCs w:val="21"/>
          <w:vertAlign w:val="superscript"/>
        </w:rPr>
        <w:t>th</w:t>
      </w:r>
      <w:r>
        <w:rPr>
          <w:rFonts w:ascii="Arial" w:hAnsi="Arial" w:cs="Arial"/>
          <w:sz w:val="21"/>
          <w:szCs w:val="21"/>
        </w:rPr>
        <w:t xml:space="preserve"> Data We Have 4 Dataset. Name of this Dataset (</w:t>
      </w:r>
      <w:proofErr w:type="spellStart"/>
      <w:r>
        <w:rPr>
          <w:rFonts w:ascii="Arial" w:hAnsi="Arial" w:cs="Arial"/>
          <w:sz w:val="21"/>
          <w:szCs w:val="21"/>
        </w:rPr>
        <w:t>i</w:t>
      </w:r>
      <w:proofErr w:type="spellEnd"/>
      <w:r>
        <w:rPr>
          <w:rFonts w:ascii="Arial" w:hAnsi="Arial" w:cs="Arial"/>
          <w:sz w:val="21"/>
          <w:szCs w:val="21"/>
        </w:rPr>
        <w:t>)</w:t>
      </w:r>
      <w:r w:rsidRPr="00E41A79">
        <w:rPr>
          <w:rStyle w:val="HTMLCode"/>
          <w:rFonts w:ascii="Consolas" w:eastAsiaTheme="minorHAnsi" w:hAnsi="Consolas"/>
          <w:sz w:val="21"/>
          <w:szCs w:val="21"/>
        </w:rPr>
        <w:t xml:space="preserve"> </w:t>
      </w:r>
      <w:r w:rsidRPr="00E41A79">
        <w:rPr>
          <w:rFonts w:ascii="Consolas" w:eastAsia="Times New Roman" w:hAnsi="Consolas" w:cs="Courier New"/>
          <w:sz w:val="21"/>
          <w:szCs w:val="21"/>
        </w:rPr>
        <w:t>domain1_var1</w:t>
      </w:r>
      <w:r w:rsidRPr="00E41A79">
        <w:rPr>
          <w:rFonts w:ascii="Arial" w:eastAsia="Times New Roman" w:hAnsi="Arial" w:cs="Arial"/>
          <w:sz w:val="21"/>
          <w:szCs w:val="21"/>
        </w:rPr>
        <w:t> </w:t>
      </w:r>
      <w:r>
        <w:rPr>
          <w:rFonts w:ascii="Arial" w:eastAsia="Times New Roman" w:hAnsi="Arial" w:cs="Arial"/>
          <w:sz w:val="21"/>
          <w:szCs w:val="21"/>
        </w:rPr>
        <w:t xml:space="preserve">(ii) </w:t>
      </w:r>
      <w:r w:rsidRPr="00E41A79">
        <w:rPr>
          <w:rFonts w:ascii="Consolas" w:eastAsia="Times New Roman" w:hAnsi="Consolas" w:cs="Courier New"/>
          <w:sz w:val="21"/>
          <w:szCs w:val="21"/>
        </w:rPr>
        <w:t>domain1_var2</w:t>
      </w:r>
      <w:r>
        <w:rPr>
          <w:rFonts w:ascii="Consolas" w:eastAsia="Times New Roman" w:hAnsi="Consolas" w:cs="Courier New"/>
          <w:sz w:val="21"/>
          <w:szCs w:val="21"/>
        </w:rPr>
        <w:t xml:space="preserve"> (iii) </w:t>
      </w:r>
      <w:r w:rsidRPr="00E41A79">
        <w:rPr>
          <w:rFonts w:ascii="Consolas" w:eastAsia="Times New Roman" w:hAnsi="Consolas" w:cs="Courier New"/>
          <w:sz w:val="21"/>
          <w:szCs w:val="21"/>
        </w:rPr>
        <w:t>domain2_var1</w:t>
      </w:r>
      <w:r w:rsidRPr="00E41A79">
        <w:rPr>
          <w:rFonts w:ascii="Arial" w:eastAsia="Times New Roman" w:hAnsi="Arial" w:cs="Arial"/>
          <w:sz w:val="21"/>
          <w:szCs w:val="21"/>
        </w:rPr>
        <w:t> </w:t>
      </w:r>
      <w:r>
        <w:rPr>
          <w:rFonts w:ascii="Arial" w:eastAsia="Times New Roman" w:hAnsi="Arial" w:cs="Arial"/>
          <w:sz w:val="21"/>
          <w:szCs w:val="21"/>
        </w:rPr>
        <w:t xml:space="preserve">(iv) </w:t>
      </w:r>
      <w:r w:rsidRPr="00E41A79">
        <w:rPr>
          <w:rFonts w:ascii="Consolas" w:eastAsia="Times New Roman" w:hAnsi="Consolas" w:cs="Courier New"/>
          <w:sz w:val="21"/>
          <w:szCs w:val="21"/>
        </w:rPr>
        <w:t>domain2_var2</w:t>
      </w:r>
      <w:r w:rsidRPr="00E41A79">
        <w:rPr>
          <w:rFonts w:ascii="Arial" w:eastAsia="Times New Roman" w:hAnsi="Arial" w:cs="Arial"/>
          <w:sz w:val="21"/>
          <w:szCs w:val="21"/>
        </w:rPr>
        <w:t> </w:t>
      </w:r>
    </w:p>
    <w:p w14:paraId="18E444FC" w14:textId="5713F8C1" w:rsidR="00E323CE" w:rsidRDefault="00E323CE" w:rsidP="00E41A79">
      <w:pPr>
        <w:spacing w:before="100" w:beforeAutospacing="1" w:after="60" w:line="240" w:lineRule="auto"/>
        <w:rPr>
          <w:rFonts w:ascii="Arial" w:hAnsi="Arial" w:cs="Arial"/>
          <w:sz w:val="21"/>
          <w:szCs w:val="21"/>
        </w:rPr>
      </w:pPr>
      <w:r>
        <w:rPr>
          <w:rFonts w:ascii="Arial" w:hAnsi="Arial" w:cs="Arial"/>
          <w:sz w:val="21"/>
          <w:szCs w:val="21"/>
        </w:rPr>
        <w:t>For Visualization purpose I have rounded the values to their nearest integer.</w:t>
      </w:r>
    </w:p>
    <w:p w14:paraId="1467281C" w14:textId="77777777" w:rsidR="00E41A79" w:rsidRDefault="00E41A79" w:rsidP="00E323CE">
      <w:pPr>
        <w:pStyle w:val="NormalWeb"/>
        <w:shd w:val="clear" w:color="auto" w:fill="FFFFFF"/>
        <w:spacing w:before="0" w:beforeAutospacing="0" w:after="240" w:afterAutospacing="0"/>
        <w:rPr>
          <w:rFonts w:ascii="Arial" w:hAnsi="Arial" w:cs="Arial"/>
          <w:sz w:val="21"/>
          <w:szCs w:val="21"/>
        </w:rPr>
      </w:pPr>
    </w:p>
    <w:p w14:paraId="781247DF" w14:textId="77777777" w:rsidR="00E41A79" w:rsidRDefault="00E41A79" w:rsidP="00E323CE">
      <w:pPr>
        <w:pStyle w:val="NormalWeb"/>
        <w:shd w:val="clear" w:color="auto" w:fill="FFFFFF"/>
        <w:spacing w:before="0" w:beforeAutospacing="0" w:after="240" w:afterAutospacing="0"/>
        <w:rPr>
          <w:rFonts w:ascii="Arial" w:hAnsi="Arial" w:cs="Arial"/>
          <w:sz w:val="21"/>
          <w:szCs w:val="21"/>
        </w:rPr>
      </w:pPr>
    </w:p>
    <w:p w14:paraId="7E06EB28" w14:textId="705C1F95" w:rsidR="00E323CE" w:rsidRDefault="00E323CE" w:rsidP="00E323CE">
      <w:pPr>
        <w:pStyle w:val="NormalWeb"/>
        <w:shd w:val="clear" w:color="auto" w:fill="FFFFFF"/>
        <w:spacing w:before="0" w:beforeAutospacing="0" w:after="240" w:afterAutospacing="0"/>
        <w:rPr>
          <w:rFonts w:ascii="Arial" w:hAnsi="Arial" w:cs="Arial"/>
          <w:sz w:val="21"/>
          <w:szCs w:val="21"/>
        </w:rPr>
      </w:pPr>
      <w:r>
        <w:rPr>
          <w:rFonts w:ascii="Arial" w:hAnsi="Arial" w:cs="Arial"/>
          <w:noProof/>
          <w:sz w:val="21"/>
          <w:szCs w:val="21"/>
        </w:rPr>
        <w:lastRenderedPageBreak/>
        <w:drawing>
          <wp:inline distT="0" distB="0" distL="0" distR="0" wp14:anchorId="5B6E2D2D" wp14:editId="108A2A51">
            <wp:extent cx="5943600" cy="4493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_results___29_0.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4493895"/>
                    </a:xfrm>
                    <a:prstGeom prst="rect">
                      <a:avLst/>
                    </a:prstGeom>
                  </pic:spPr>
                </pic:pic>
              </a:graphicData>
            </a:graphic>
          </wp:inline>
        </w:drawing>
      </w:r>
    </w:p>
    <w:p w14:paraId="113CAE07" w14:textId="77777777" w:rsidR="00E41A79" w:rsidRPr="00E323CE" w:rsidRDefault="00E41A79" w:rsidP="00E41A79">
      <w:pPr>
        <w:spacing w:after="180" w:line="240" w:lineRule="auto"/>
        <w:rPr>
          <w:rFonts w:ascii="Arial" w:eastAsia="Times New Roman" w:hAnsi="Arial" w:cs="Arial"/>
          <w:sz w:val="21"/>
          <w:szCs w:val="21"/>
        </w:rPr>
      </w:pPr>
      <w:r w:rsidRPr="00E323CE">
        <w:rPr>
          <w:rFonts w:ascii="Arial" w:eastAsia="Times New Roman" w:hAnsi="Arial" w:cs="Arial"/>
          <w:b/>
          <w:bCs/>
          <w:sz w:val="21"/>
          <w:szCs w:val="21"/>
        </w:rPr>
        <w:t>inference</w:t>
      </w:r>
    </w:p>
    <w:p w14:paraId="5FECEF33" w14:textId="77777777" w:rsidR="00E41A79" w:rsidRPr="00E323CE" w:rsidRDefault="00E41A79" w:rsidP="00E41A79">
      <w:pPr>
        <w:numPr>
          <w:ilvl w:val="0"/>
          <w:numId w:val="11"/>
        </w:numPr>
        <w:spacing w:before="100" w:beforeAutospacing="1" w:after="60" w:line="240" w:lineRule="auto"/>
        <w:rPr>
          <w:rFonts w:ascii="Arial" w:eastAsia="Times New Roman" w:hAnsi="Arial" w:cs="Arial"/>
          <w:sz w:val="21"/>
          <w:szCs w:val="21"/>
        </w:rPr>
      </w:pPr>
      <w:r w:rsidRPr="00E323CE">
        <w:rPr>
          <w:rFonts w:ascii="Arial" w:eastAsia="Times New Roman" w:hAnsi="Arial" w:cs="Arial"/>
          <w:sz w:val="21"/>
          <w:szCs w:val="21"/>
        </w:rPr>
        <w:t>Top 5 most frequent ages are 57, 60, 54, 55, 50</w:t>
      </w:r>
    </w:p>
    <w:p w14:paraId="1FA15B42" w14:textId="77777777" w:rsidR="00E41A79" w:rsidRPr="00E323CE" w:rsidRDefault="00E41A79" w:rsidP="00E41A79">
      <w:pPr>
        <w:numPr>
          <w:ilvl w:val="0"/>
          <w:numId w:val="11"/>
        </w:numPr>
        <w:spacing w:before="100" w:beforeAutospacing="1" w:after="60" w:line="240" w:lineRule="auto"/>
        <w:rPr>
          <w:rFonts w:ascii="Arial" w:eastAsia="Times New Roman" w:hAnsi="Arial" w:cs="Arial"/>
          <w:sz w:val="21"/>
          <w:szCs w:val="21"/>
        </w:rPr>
      </w:pPr>
      <w:r w:rsidRPr="00E323CE">
        <w:rPr>
          <w:rFonts w:ascii="Arial" w:eastAsia="Times New Roman" w:hAnsi="Arial" w:cs="Arial"/>
          <w:sz w:val="21"/>
          <w:szCs w:val="21"/>
        </w:rPr>
        <w:t>Most of the patients lie between the age group 22 to 77.</w:t>
      </w:r>
    </w:p>
    <w:p w14:paraId="193494C9" w14:textId="636F24FA" w:rsidR="00E41A79" w:rsidRDefault="00E41A79" w:rsidP="00E323C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There We see</w:t>
      </w:r>
      <w:r w:rsidR="00EB2F70">
        <w:rPr>
          <w:rFonts w:ascii="Arial" w:hAnsi="Arial" w:cs="Arial"/>
          <w:sz w:val="21"/>
          <w:szCs w:val="21"/>
        </w:rPr>
        <w:t xml:space="preserve"> age count distribution #### age count and %age plot</w:t>
      </w:r>
    </w:p>
    <w:p w14:paraId="39EA7033" w14:textId="71DF2526" w:rsidR="00EB2F70" w:rsidRDefault="00EB2F70" w:rsidP="00E323CE">
      <w:pPr>
        <w:pStyle w:val="NormalWeb"/>
        <w:shd w:val="clear" w:color="auto" w:fill="FFFFFF"/>
        <w:spacing w:before="0" w:beforeAutospacing="0" w:after="240" w:afterAutospacing="0"/>
        <w:rPr>
          <w:rFonts w:ascii="Arial" w:hAnsi="Arial" w:cs="Arial"/>
          <w:sz w:val="21"/>
          <w:szCs w:val="21"/>
        </w:rPr>
      </w:pPr>
    </w:p>
    <w:p w14:paraId="18A10DBB" w14:textId="6804A976" w:rsidR="00EB2F70" w:rsidRPr="00EB2F70" w:rsidRDefault="00EB2F70" w:rsidP="00E323CE">
      <w:pPr>
        <w:pStyle w:val="NormalWeb"/>
        <w:shd w:val="clear" w:color="auto" w:fill="FFFFFF"/>
        <w:spacing w:before="0" w:beforeAutospacing="0" w:after="240" w:afterAutospacing="0"/>
        <w:rPr>
          <w:rFonts w:ascii="Nirmala UI" w:hAnsi="Nirmala UI" w:cs="Nirmala UI"/>
          <w:sz w:val="21"/>
          <w:szCs w:val="21"/>
        </w:rPr>
      </w:pPr>
      <w:proofErr w:type="spellStart"/>
      <w:r>
        <w:rPr>
          <w:rFonts w:ascii="Nirmala UI" w:hAnsi="Nirmala UI" w:cs="Nirmala UI"/>
          <w:sz w:val="21"/>
          <w:szCs w:val="21"/>
        </w:rPr>
        <w:t>এখানে</w:t>
      </w:r>
      <w:proofErr w:type="spellEnd"/>
      <w:r>
        <w:rPr>
          <w:rFonts w:ascii="Nirmala UI" w:hAnsi="Nirmala UI" w:cs="Nirmala UI"/>
          <w:sz w:val="21"/>
          <w:szCs w:val="21"/>
        </w:rPr>
        <w:t xml:space="preserve"> </w:t>
      </w:r>
      <w:proofErr w:type="spellStart"/>
      <w:r>
        <w:rPr>
          <w:rFonts w:ascii="Nirmala UI" w:hAnsi="Nirmala UI" w:cs="Nirmala UI"/>
          <w:sz w:val="21"/>
          <w:szCs w:val="21"/>
        </w:rPr>
        <w:t>আমরা</w:t>
      </w:r>
      <w:proofErr w:type="spellEnd"/>
      <w:r>
        <w:rPr>
          <w:rFonts w:ascii="Nirmala UI" w:hAnsi="Nirmala UI" w:cs="Nirmala UI"/>
          <w:sz w:val="21"/>
          <w:szCs w:val="21"/>
        </w:rPr>
        <w:t xml:space="preserve"> </w:t>
      </w:r>
      <w:proofErr w:type="spellStart"/>
      <w:r>
        <w:rPr>
          <w:rFonts w:ascii="Nirmala UI" w:hAnsi="Nirmala UI" w:cs="Nirmala UI"/>
          <w:sz w:val="21"/>
          <w:szCs w:val="21"/>
        </w:rPr>
        <w:t>দেখতে</w:t>
      </w:r>
      <w:proofErr w:type="spellEnd"/>
      <w:r>
        <w:rPr>
          <w:rFonts w:ascii="Nirmala UI" w:hAnsi="Nirmala UI" w:cs="Nirmala UI"/>
          <w:sz w:val="21"/>
          <w:szCs w:val="21"/>
        </w:rPr>
        <w:t xml:space="preserve"> </w:t>
      </w:r>
      <w:proofErr w:type="spellStart"/>
      <w:r>
        <w:rPr>
          <w:rFonts w:ascii="Nirmala UI" w:hAnsi="Nirmala UI" w:cs="Nirmala UI"/>
          <w:sz w:val="21"/>
          <w:szCs w:val="21"/>
        </w:rPr>
        <w:t>পাচ্ছি</w:t>
      </w:r>
      <w:proofErr w:type="spellEnd"/>
      <w:r>
        <w:rPr>
          <w:rFonts w:ascii="Nirmala UI" w:hAnsi="Nirmala UI" w:cs="Nirmala UI"/>
          <w:sz w:val="21"/>
          <w:szCs w:val="21"/>
        </w:rPr>
        <w:t xml:space="preserve"> </w:t>
      </w:r>
      <w:proofErr w:type="spellStart"/>
      <w:r>
        <w:rPr>
          <w:rFonts w:ascii="Nirmala UI" w:hAnsi="Nirmala UI" w:cs="Nirmala UI"/>
          <w:sz w:val="21"/>
          <w:szCs w:val="21"/>
        </w:rPr>
        <w:t>বয়স</w:t>
      </w:r>
      <w:proofErr w:type="spellEnd"/>
      <w:r>
        <w:rPr>
          <w:rFonts w:ascii="Nirmala UI" w:hAnsi="Nirmala UI" w:cs="Nirmala UI"/>
          <w:sz w:val="21"/>
          <w:szCs w:val="21"/>
        </w:rPr>
        <w:t xml:space="preserve"> </w:t>
      </w:r>
      <w:proofErr w:type="spellStart"/>
      <w:r>
        <w:rPr>
          <w:rFonts w:ascii="Nirmala UI" w:hAnsi="Nirmala UI" w:cs="Nirmala UI"/>
          <w:sz w:val="21"/>
          <w:szCs w:val="21"/>
        </w:rPr>
        <w:t>বণ্টন</w:t>
      </w:r>
      <w:proofErr w:type="spellEnd"/>
      <w:r>
        <w:rPr>
          <w:rFonts w:ascii="Nirmala UI" w:hAnsi="Nirmala UI" w:cs="Nirmala UI"/>
          <w:sz w:val="21"/>
          <w:szCs w:val="21"/>
        </w:rPr>
        <w:t xml:space="preserve">। </w:t>
      </w:r>
      <w:proofErr w:type="spellStart"/>
      <w:r>
        <w:rPr>
          <w:rFonts w:ascii="Nirmala UI" w:hAnsi="Nirmala UI" w:cs="Nirmala UI"/>
          <w:sz w:val="21"/>
          <w:szCs w:val="21"/>
        </w:rPr>
        <w:t>এখানে</w:t>
      </w:r>
      <w:proofErr w:type="spellEnd"/>
      <w:r>
        <w:rPr>
          <w:rFonts w:ascii="Nirmala UI" w:hAnsi="Nirmala UI" w:cs="Nirmala UI"/>
          <w:sz w:val="21"/>
          <w:szCs w:val="21"/>
        </w:rPr>
        <w:t xml:space="preserve"> </w:t>
      </w:r>
      <w:proofErr w:type="spellStart"/>
      <w:r>
        <w:rPr>
          <w:rFonts w:ascii="Nirmala UI" w:hAnsi="Nirmala UI" w:cs="Nirmala UI"/>
          <w:sz w:val="21"/>
          <w:szCs w:val="21"/>
        </w:rPr>
        <w:t>আমরা</w:t>
      </w:r>
      <w:proofErr w:type="spellEnd"/>
      <w:r>
        <w:rPr>
          <w:rFonts w:ascii="Nirmala UI" w:hAnsi="Nirmala UI" w:cs="Nirmala UI"/>
          <w:sz w:val="21"/>
          <w:szCs w:val="21"/>
        </w:rPr>
        <w:t xml:space="preserve"> </w:t>
      </w:r>
      <w:proofErr w:type="spellStart"/>
      <w:r>
        <w:rPr>
          <w:rFonts w:ascii="Nirmala UI" w:hAnsi="Nirmala UI" w:cs="Nirmala UI"/>
          <w:sz w:val="21"/>
          <w:szCs w:val="21"/>
        </w:rPr>
        <w:t>বিভিন্ন</w:t>
      </w:r>
      <w:proofErr w:type="spellEnd"/>
      <w:r>
        <w:rPr>
          <w:rFonts w:ascii="Nirmala UI" w:hAnsi="Nirmala UI" w:cs="Nirmala UI"/>
          <w:sz w:val="21"/>
          <w:szCs w:val="21"/>
        </w:rPr>
        <w:t xml:space="preserve"> </w:t>
      </w:r>
      <w:proofErr w:type="spellStart"/>
      <w:r>
        <w:rPr>
          <w:rFonts w:ascii="Nirmala UI" w:hAnsi="Nirmala UI" w:cs="Nirmala UI"/>
          <w:sz w:val="21"/>
          <w:szCs w:val="21"/>
        </w:rPr>
        <w:t>বয়স</w:t>
      </w:r>
      <w:proofErr w:type="spellEnd"/>
      <w:r>
        <w:rPr>
          <w:rFonts w:ascii="Nirmala UI" w:hAnsi="Nirmala UI" w:cs="Nirmala UI"/>
          <w:sz w:val="21"/>
          <w:szCs w:val="21"/>
        </w:rPr>
        <w:t xml:space="preserve"> </w:t>
      </w:r>
      <w:proofErr w:type="spellStart"/>
      <w:r>
        <w:rPr>
          <w:rFonts w:ascii="Nirmala UI" w:hAnsi="Nirmala UI" w:cs="Nirmala UI"/>
          <w:sz w:val="21"/>
          <w:szCs w:val="21"/>
        </w:rPr>
        <w:t>এবং</w:t>
      </w:r>
      <w:proofErr w:type="spellEnd"/>
      <w:r>
        <w:rPr>
          <w:rFonts w:ascii="Nirmala UI" w:hAnsi="Nirmala UI" w:cs="Nirmala UI"/>
          <w:sz w:val="21"/>
          <w:szCs w:val="21"/>
        </w:rPr>
        <w:t xml:space="preserve"> </w:t>
      </w:r>
      <w:proofErr w:type="spellStart"/>
      <w:r>
        <w:rPr>
          <w:rFonts w:ascii="Nirmala UI" w:hAnsi="Nirmala UI" w:cs="Nirmala UI"/>
          <w:sz w:val="21"/>
          <w:szCs w:val="21"/>
        </w:rPr>
        <w:t>এদের</w:t>
      </w:r>
      <w:proofErr w:type="spellEnd"/>
      <w:r>
        <w:rPr>
          <w:rFonts w:ascii="Nirmala UI" w:hAnsi="Nirmala UI" w:cs="Nirmala UI"/>
          <w:sz w:val="21"/>
          <w:szCs w:val="21"/>
        </w:rPr>
        <w:t xml:space="preserve"> </w:t>
      </w:r>
      <w:proofErr w:type="spellStart"/>
      <w:r>
        <w:rPr>
          <w:rFonts w:ascii="Nirmala UI" w:hAnsi="Nirmala UI" w:cs="Nirmala UI"/>
          <w:sz w:val="21"/>
          <w:szCs w:val="21"/>
        </w:rPr>
        <w:t>শতাংশ</w:t>
      </w:r>
      <w:proofErr w:type="spellEnd"/>
      <w:r>
        <w:rPr>
          <w:rFonts w:ascii="Nirmala UI" w:hAnsi="Nirmala UI" w:cs="Nirmala UI"/>
          <w:sz w:val="21"/>
          <w:szCs w:val="21"/>
        </w:rPr>
        <w:t xml:space="preserve"> </w:t>
      </w:r>
      <w:proofErr w:type="spellStart"/>
      <w:r>
        <w:rPr>
          <w:rFonts w:ascii="Nirmala UI" w:hAnsi="Nirmala UI" w:cs="Nirmala UI"/>
          <w:sz w:val="21"/>
          <w:szCs w:val="21"/>
        </w:rPr>
        <w:t>দেখতে</w:t>
      </w:r>
      <w:proofErr w:type="spellEnd"/>
      <w:r>
        <w:rPr>
          <w:rFonts w:ascii="Nirmala UI" w:hAnsi="Nirmala UI" w:cs="Nirmala UI"/>
          <w:sz w:val="21"/>
          <w:szCs w:val="21"/>
        </w:rPr>
        <w:t xml:space="preserve"> </w:t>
      </w:r>
      <w:proofErr w:type="spellStart"/>
      <w:r>
        <w:rPr>
          <w:rFonts w:ascii="Nirmala UI" w:hAnsi="Nirmala UI" w:cs="Nirmala UI"/>
          <w:sz w:val="21"/>
          <w:szCs w:val="21"/>
        </w:rPr>
        <w:t>পাচ্ছি</w:t>
      </w:r>
      <w:proofErr w:type="spellEnd"/>
      <w:r>
        <w:rPr>
          <w:rFonts w:ascii="Nirmala UI" w:hAnsi="Nirmala UI" w:cs="Nirmala UI"/>
          <w:sz w:val="21"/>
          <w:szCs w:val="21"/>
        </w:rPr>
        <w:t xml:space="preserve">। </w:t>
      </w:r>
      <w:proofErr w:type="spellStart"/>
      <w:r>
        <w:rPr>
          <w:rFonts w:ascii="Nirmala UI" w:hAnsi="Nirmala UI" w:cs="Nirmala UI"/>
          <w:sz w:val="21"/>
          <w:szCs w:val="21"/>
        </w:rPr>
        <w:t>সর্বনিম্ন</w:t>
      </w:r>
      <w:proofErr w:type="spellEnd"/>
      <w:r>
        <w:rPr>
          <w:rFonts w:ascii="Nirmala UI" w:hAnsi="Nirmala UI" w:cs="Nirmala UI"/>
          <w:sz w:val="21"/>
          <w:szCs w:val="21"/>
        </w:rPr>
        <w:t xml:space="preserve"> value 0.29% </w:t>
      </w:r>
      <w:proofErr w:type="spellStart"/>
      <w:r w:rsidR="003E100E">
        <w:rPr>
          <w:rFonts w:ascii="Nirmala UI" w:hAnsi="Nirmala UI" w:cs="Nirmala UI"/>
          <w:sz w:val="21"/>
          <w:szCs w:val="21"/>
        </w:rPr>
        <w:t>এবং</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সর্বোচ্চ</w:t>
      </w:r>
      <w:proofErr w:type="spellEnd"/>
      <w:r w:rsidR="003E100E">
        <w:rPr>
          <w:rFonts w:ascii="Nirmala UI" w:hAnsi="Nirmala UI" w:cs="Nirmala UI"/>
          <w:sz w:val="21"/>
          <w:szCs w:val="21"/>
        </w:rPr>
        <w:t xml:space="preserve"> value 5.73%। </w:t>
      </w:r>
      <w:proofErr w:type="spellStart"/>
      <w:r w:rsidR="003E100E">
        <w:rPr>
          <w:rFonts w:ascii="Nirmala UI" w:hAnsi="Nirmala UI" w:cs="Nirmala UI"/>
          <w:sz w:val="21"/>
          <w:szCs w:val="21"/>
        </w:rPr>
        <w:t>এই</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ছবিতে</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আমরা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দেখতে</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পাচ্ছি</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মানুষের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কম</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এবং</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বৃদ্ধ</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সবচেয়ে</w:t>
      </w:r>
      <w:proofErr w:type="spellEnd"/>
      <w:r w:rsidR="003E100E">
        <w:rPr>
          <w:rFonts w:ascii="Nirmala UI" w:hAnsi="Nirmala UI" w:cs="Nirmala UI"/>
          <w:sz w:val="21"/>
          <w:szCs w:val="21"/>
        </w:rPr>
        <w:t xml:space="preserve"> occurrences </w:t>
      </w:r>
      <w:proofErr w:type="spellStart"/>
      <w:r w:rsidR="003E100E">
        <w:rPr>
          <w:rFonts w:ascii="Nirmala UI" w:hAnsi="Nirmala UI" w:cs="Nirmala UI"/>
          <w:sz w:val="21"/>
          <w:szCs w:val="21"/>
        </w:rPr>
        <w:t>কম</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হয়ে</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থাকে</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মাঝ</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মানুষের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মাঝে</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এই</w:t>
      </w:r>
      <w:proofErr w:type="spellEnd"/>
      <w:r w:rsidR="003E100E">
        <w:rPr>
          <w:rFonts w:ascii="Nirmala UI" w:hAnsi="Nirmala UI" w:cs="Nirmala UI"/>
          <w:sz w:val="21"/>
          <w:szCs w:val="21"/>
        </w:rPr>
        <w:t xml:space="preserve"> occurrence </w:t>
      </w:r>
      <w:proofErr w:type="spellStart"/>
      <w:r w:rsidR="003E100E">
        <w:rPr>
          <w:rFonts w:ascii="Nirmala UI" w:hAnsi="Nirmala UI" w:cs="Nirmala UI"/>
          <w:sz w:val="21"/>
          <w:szCs w:val="21"/>
        </w:rPr>
        <w:t>টা</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বেশি</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লক্ষণীয়</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এই</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ছবিতে</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দেখা</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যাচ্ছে</w:t>
      </w:r>
      <w:proofErr w:type="spellEnd"/>
      <w:r w:rsidR="003E100E">
        <w:rPr>
          <w:rFonts w:ascii="Nirmala UI" w:hAnsi="Nirmala UI" w:cs="Nirmala UI"/>
          <w:sz w:val="21"/>
          <w:szCs w:val="21"/>
        </w:rPr>
        <w:t xml:space="preserve"> ৫৭ </w:t>
      </w:r>
      <w:proofErr w:type="spellStart"/>
      <w:r w:rsidR="003E100E">
        <w:rPr>
          <w:rFonts w:ascii="Nirmala UI" w:hAnsi="Nirmala UI" w:cs="Nirmala UI"/>
          <w:sz w:val="21"/>
          <w:szCs w:val="21"/>
        </w:rPr>
        <w:t>বসর</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বয়সে</w:t>
      </w:r>
      <w:proofErr w:type="spellEnd"/>
      <w:r w:rsidR="003E100E">
        <w:rPr>
          <w:rFonts w:ascii="Nirmala UI" w:hAnsi="Nirmala UI" w:cs="Nirmala UI"/>
          <w:sz w:val="21"/>
          <w:szCs w:val="21"/>
        </w:rPr>
        <w:t xml:space="preserve"> </w:t>
      </w:r>
      <w:proofErr w:type="spellStart"/>
      <w:r w:rsidR="003E100E">
        <w:rPr>
          <w:rFonts w:ascii="Nirmala UI" w:hAnsi="Nirmala UI" w:cs="Nirmala UI"/>
          <w:sz w:val="21"/>
          <w:szCs w:val="21"/>
        </w:rPr>
        <w:t>স</w:t>
      </w:r>
      <w:r w:rsidR="00225290">
        <w:rPr>
          <w:rFonts w:ascii="Nirmala UI" w:hAnsi="Nirmala UI" w:cs="Nirmala UI"/>
          <w:sz w:val="21"/>
          <w:szCs w:val="21"/>
        </w:rPr>
        <w:t>বচেয়ে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আঘাত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হায়ে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যদিও</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সবচেয়ে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কম</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মানুষের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হয়েছে</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কিন্তু</w:t>
      </w:r>
      <w:proofErr w:type="spellEnd"/>
      <w:r w:rsidR="00225290">
        <w:rPr>
          <w:rFonts w:ascii="Nirmala UI" w:hAnsi="Nirmala UI" w:cs="Nirmala UI"/>
          <w:sz w:val="21"/>
          <w:szCs w:val="21"/>
        </w:rPr>
        <w:t xml:space="preserve"> ২য় </w:t>
      </w:r>
      <w:proofErr w:type="spellStart"/>
      <w:r w:rsidR="00225290">
        <w:rPr>
          <w:rFonts w:ascii="Nirmala UI" w:hAnsi="Nirmala UI" w:cs="Nirmala UI"/>
          <w:sz w:val="21"/>
          <w:szCs w:val="21"/>
        </w:rPr>
        <w:t>কম</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শতাংশ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দেখা</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যায়</w:t>
      </w:r>
      <w:proofErr w:type="spellEnd"/>
      <w:r w:rsidR="00225290">
        <w:rPr>
          <w:rFonts w:ascii="Nirmala UI" w:hAnsi="Nirmala UI" w:cs="Nirmala UI"/>
          <w:sz w:val="21"/>
          <w:szCs w:val="21"/>
        </w:rPr>
        <w:t xml:space="preserve"> ৮৪ </w:t>
      </w:r>
      <w:proofErr w:type="spellStart"/>
      <w:r w:rsidR="00225290">
        <w:rPr>
          <w:rFonts w:ascii="Nirmala UI" w:hAnsi="Nirmala UI" w:cs="Nirmala UI"/>
          <w:sz w:val="21"/>
          <w:szCs w:val="21"/>
        </w:rPr>
        <w:t>এবং</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মানুষের</w:t>
      </w:r>
      <w:proofErr w:type="spellEnd"/>
      <w:r w:rsidR="00225290">
        <w:rPr>
          <w:rFonts w:ascii="Nirmala UI" w:hAnsi="Nirmala UI" w:cs="Nirmala UI"/>
          <w:sz w:val="21"/>
          <w:szCs w:val="21"/>
        </w:rPr>
        <w:t xml:space="preserve">। ১ </w:t>
      </w:r>
      <w:proofErr w:type="spellStart"/>
      <w:r w:rsidR="00225290">
        <w:rPr>
          <w:rFonts w:ascii="Nirmala UI" w:hAnsi="Nirmala UI" w:cs="Nirmala UI"/>
          <w:sz w:val="21"/>
          <w:szCs w:val="21"/>
        </w:rPr>
        <w:t>বসর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২২ </w:t>
      </w:r>
      <w:proofErr w:type="spellStart"/>
      <w:r w:rsidR="00225290">
        <w:rPr>
          <w:rFonts w:ascii="Nirmala UI" w:hAnsi="Nirmala UI" w:cs="Nirmala UI"/>
          <w:sz w:val="21"/>
          <w:szCs w:val="21"/>
        </w:rPr>
        <w:t>বসর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পর্যন্ত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১ </w:t>
      </w:r>
      <w:proofErr w:type="spellStart"/>
      <w:r w:rsidR="00225290">
        <w:rPr>
          <w:rFonts w:ascii="Nirmala UI" w:hAnsi="Nirmala UI" w:cs="Nirmala UI"/>
          <w:sz w:val="21"/>
          <w:szCs w:val="21"/>
        </w:rPr>
        <w:t>শতাংশ</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মধ্যে</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এবং</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যত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বারতে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টাও</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ধিরে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ধিরে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বাড়তে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এবং</w:t>
      </w:r>
      <w:proofErr w:type="spellEnd"/>
      <w:r w:rsidR="00225290">
        <w:rPr>
          <w:rFonts w:ascii="Nirmala UI" w:hAnsi="Nirmala UI" w:cs="Nirmala UI"/>
          <w:sz w:val="21"/>
          <w:szCs w:val="21"/>
        </w:rPr>
        <w:t xml:space="preserve"> ৬৭ </w:t>
      </w:r>
      <w:proofErr w:type="spellStart"/>
      <w:r w:rsidR="00225290">
        <w:rPr>
          <w:rFonts w:ascii="Nirmala UI" w:hAnsi="Nirmala UI" w:cs="Nirmala UI"/>
          <w:sz w:val="21"/>
          <w:szCs w:val="21"/>
        </w:rPr>
        <w:t>বসর</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যত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বয়স</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কমতে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তখন</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এই</w:t>
      </w:r>
      <w:proofErr w:type="spellEnd"/>
      <w:r w:rsidR="00225290">
        <w:rPr>
          <w:rFonts w:ascii="Nirmala UI" w:hAnsi="Nirmala UI" w:cs="Nirmala UI"/>
          <w:sz w:val="21"/>
          <w:szCs w:val="21"/>
        </w:rPr>
        <w:t xml:space="preserve"> occurrence </w:t>
      </w:r>
      <w:proofErr w:type="spellStart"/>
      <w:r w:rsidR="00225290">
        <w:rPr>
          <w:rFonts w:ascii="Nirmala UI" w:hAnsi="Nirmala UI" w:cs="Nirmala UI"/>
          <w:sz w:val="21"/>
          <w:szCs w:val="21"/>
        </w:rPr>
        <w:t>টা</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কমতে</w:t>
      </w:r>
      <w:proofErr w:type="spellEnd"/>
      <w:r w:rsidR="00225290">
        <w:rPr>
          <w:rFonts w:ascii="Nirmala UI" w:hAnsi="Nirmala UI" w:cs="Nirmala UI"/>
          <w:sz w:val="21"/>
          <w:szCs w:val="21"/>
        </w:rPr>
        <w:t xml:space="preserve"> </w:t>
      </w:r>
      <w:proofErr w:type="spellStart"/>
      <w:r w:rsidR="00225290">
        <w:rPr>
          <w:rFonts w:ascii="Nirmala UI" w:hAnsi="Nirmala UI" w:cs="Nirmala UI"/>
          <w:sz w:val="21"/>
          <w:szCs w:val="21"/>
        </w:rPr>
        <w:t>থাকে</w:t>
      </w:r>
      <w:proofErr w:type="spellEnd"/>
      <w:r w:rsidR="00225290">
        <w:rPr>
          <w:rFonts w:ascii="Nirmala UI" w:hAnsi="Nirmala UI" w:cs="Nirmala UI"/>
          <w:sz w:val="21"/>
          <w:szCs w:val="21"/>
        </w:rPr>
        <w:t xml:space="preserve">।   </w:t>
      </w:r>
    </w:p>
    <w:p w14:paraId="333DC339" w14:textId="2204215A" w:rsidR="00E323CE" w:rsidRDefault="00E323CE" w:rsidP="002E7EFA">
      <w:pPr>
        <w:spacing w:after="240" w:line="240" w:lineRule="auto"/>
        <w:rPr>
          <w:rFonts w:ascii="Times New Roman" w:eastAsia="Times New Roman" w:hAnsi="Times New Roman" w:cs="Times New Roman"/>
          <w:color w:val="2E2E2E"/>
          <w:sz w:val="27"/>
          <w:szCs w:val="27"/>
        </w:rPr>
      </w:pPr>
    </w:p>
    <w:p w14:paraId="4E0113D6" w14:textId="77777777" w:rsidR="00BF7B00" w:rsidRPr="00BF7B00" w:rsidRDefault="00BF7B00" w:rsidP="002E7EFA">
      <w:pPr>
        <w:spacing w:after="240" w:line="240" w:lineRule="auto"/>
        <w:rPr>
          <w:rFonts w:ascii="Times New Roman" w:eastAsia="Times New Roman" w:hAnsi="Times New Roman" w:cs="Times New Roman"/>
          <w:color w:val="2E2E2E"/>
          <w:sz w:val="27"/>
          <w:szCs w:val="27"/>
        </w:rPr>
      </w:pPr>
    </w:p>
    <w:p w14:paraId="24991878" w14:textId="78A9D591" w:rsidR="00625C9D" w:rsidRDefault="00625C9D" w:rsidP="002E7EFA">
      <w:pPr>
        <w:spacing w:after="240" w:line="240" w:lineRule="auto"/>
        <w:rPr>
          <w:rFonts w:ascii="Times New Roman" w:eastAsia="Times New Roman" w:hAnsi="Times New Roman" w:cs="Times New Roman"/>
          <w:color w:val="2E2E2E"/>
          <w:sz w:val="27"/>
          <w:szCs w:val="27"/>
        </w:rPr>
      </w:pPr>
      <w:r>
        <w:rPr>
          <w:rFonts w:ascii="Times New Roman" w:eastAsia="Times New Roman" w:hAnsi="Times New Roman" w:cs="Times New Roman"/>
          <w:noProof/>
          <w:color w:val="2E2E2E"/>
          <w:sz w:val="27"/>
          <w:szCs w:val="27"/>
        </w:rPr>
        <w:lastRenderedPageBreak/>
        <w:drawing>
          <wp:anchor distT="0" distB="0" distL="114300" distR="114300" simplePos="0" relativeHeight="251658240" behindDoc="0" locked="0" layoutInCell="1" allowOverlap="1" wp14:anchorId="12CC08B0" wp14:editId="26730F4B">
            <wp:simplePos x="0" y="0"/>
            <wp:positionH relativeFrom="margin">
              <wp:align>left</wp:align>
            </wp:positionH>
            <wp:positionV relativeFrom="paragraph">
              <wp:posOffset>10584</wp:posOffset>
            </wp:positionV>
            <wp:extent cx="5562600" cy="37649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_results___32_0.png"/>
                    <pic:cNvPicPr/>
                  </pic:nvPicPr>
                  <pic:blipFill>
                    <a:blip r:embed="rId59">
                      <a:extLst>
                        <a:ext uri="{28A0092B-C50C-407E-A947-70E740481C1C}">
                          <a14:useLocalDpi xmlns:a14="http://schemas.microsoft.com/office/drawing/2010/main" val="0"/>
                        </a:ext>
                      </a:extLst>
                    </a:blip>
                    <a:stretch>
                      <a:fillRect/>
                    </a:stretch>
                  </pic:blipFill>
                  <pic:spPr>
                    <a:xfrm>
                      <a:off x="0" y="0"/>
                      <a:ext cx="5562600" cy="3764915"/>
                    </a:xfrm>
                    <a:prstGeom prst="rect">
                      <a:avLst/>
                    </a:prstGeom>
                  </pic:spPr>
                </pic:pic>
              </a:graphicData>
            </a:graphic>
            <wp14:sizeRelH relativeFrom="page">
              <wp14:pctWidth>0</wp14:pctWidth>
            </wp14:sizeRelH>
            <wp14:sizeRelV relativeFrom="page">
              <wp14:pctHeight>0</wp14:pctHeight>
            </wp14:sizeRelV>
          </wp:anchor>
        </w:drawing>
      </w:r>
    </w:p>
    <w:p w14:paraId="377D28FC" w14:textId="623DD1E3" w:rsidR="00625C9D" w:rsidRDefault="00625C9D" w:rsidP="002E7EFA">
      <w:pPr>
        <w:spacing w:after="240" w:line="240" w:lineRule="auto"/>
        <w:rPr>
          <w:rFonts w:ascii="Times New Roman" w:eastAsia="Times New Roman" w:hAnsi="Times New Roman" w:cs="Times New Roman"/>
          <w:color w:val="2E2E2E"/>
          <w:sz w:val="27"/>
          <w:szCs w:val="27"/>
        </w:rPr>
      </w:pPr>
      <w:r>
        <w:rPr>
          <w:rFonts w:ascii="Times New Roman" w:eastAsia="Times New Roman" w:hAnsi="Times New Roman" w:cs="Times New Roman"/>
          <w:noProof/>
          <w:color w:val="2E2E2E"/>
          <w:sz w:val="27"/>
          <w:szCs w:val="27"/>
        </w:rPr>
        <w:drawing>
          <wp:anchor distT="0" distB="0" distL="114300" distR="114300" simplePos="0" relativeHeight="251659264" behindDoc="0" locked="0" layoutInCell="1" allowOverlap="1" wp14:anchorId="11D97AF2" wp14:editId="79CBFC88">
            <wp:simplePos x="0" y="0"/>
            <wp:positionH relativeFrom="column">
              <wp:posOffset>143933</wp:posOffset>
            </wp:positionH>
            <wp:positionV relativeFrom="paragraph">
              <wp:posOffset>3652309</wp:posOffset>
            </wp:positionV>
            <wp:extent cx="5511165" cy="40722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_results___32_1.png"/>
                    <pic:cNvPicPr/>
                  </pic:nvPicPr>
                  <pic:blipFill>
                    <a:blip r:embed="rId60">
                      <a:extLst>
                        <a:ext uri="{28A0092B-C50C-407E-A947-70E740481C1C}">
                          <a14:useLocalDpi xmlns:a14="http://schemas.microsoft.com/office/drawing/2010/main" val="0"/>
                        </a:ext>
                      </a:extLst>
                    </a:blip>
                    <a:stretch>
                      <a:fillRect/>
                    </a:stretch>
                  </pic:blipFill>
                  <pic:spPr>
                    <a:xfrm>
                      <a:off x="0" y="0"/>
                      <a:ext cx="5511165" cy="4072255"/>
                    </a:xfrm>
                    <a:prstGeom prst="rect">
                      <a:avLst/>
                    </a:prstGeom>
                  </pic:spPr>
                </pic:pic>
              </a:graphicData>
            </a:graphic>
            <wp14:sizeRelH relativeFrom="page">
              <wp14:pctWidth>0</wp14:pctWidth>
            </wp14:sizeRelH>
            <wp14:sizeRelV relativeFrom="page">
              <wp14:pctHeight>0</wp14:pctHeight>
            </wp14:sizeRelV>
          </wp:anchor>
        </w:drawing>
      </w:r>
    </w:p>
    <w:p w14:paraId="56165164" w14:textId="3B917762" w:rsidR="00BF6791" w:rsidRDefault="00625C9D" w:rsidP="002E7EFA">
      <w:pPr>
        <w:spacing w:after="240" w:line="240" w:lineRule="auto"/>
        <w:rPr>
          <w:rFonts w:ascii="Times New Roman" w:eastAsia="Times New Roman" w:hAnsi="Times New Roman" w:cs="Times New Roman"/>
          <w:color w:val="2E2E2E"/>
          <w:sz w:val="27"/>
          <w:szCs w:val="27"/>
        </w:rPr>
      </w:pPr>
      <w:r>
        <w:rPr>
          <w:rFonts w:ascii="Times New Roman" w:eastAsia="Times New Roman" w:hAnsi="Times New Roman" w:cs="Times New Roman"/>
          <w:noProof/>
          <w:color w:val="2E2E2E"/>
          <w:sz w:val="27"/>
          <w:szCs w:val="27"/>
        </w:rPr>
        <w:lastRenderedPageBreak/>
        <w:drawing>
          <wp:anchor distT="0" distB="0" distL="114300" distR="114300" simplePos="0" relativeHeight="251660288" behindDoc="1" locked="0" layoutInCell="1" allowOverlap="1" wp14:anchorId="2979D4E6" wp14:editId="2B2D0085">
            <wp:simplePos x="0" y="0"/>
            <wp:positionH relativeFrom="margin">
              <wp:posOffset>135255</wp:posOffset>
            </wp:positionH>
            <wp:positionV relativeFrom="paragraph">
              <wp:posOffset>0</wp:posOffset>
            </wp:positionV>
            <wp:extent cx="5604510" cy="3978910"/>
            <wp:effectExtent l="0" t="0" r="0" b="2540"/>
            <wp:wrapTight wrapText="bothSides">
              <wp:wrapPolygon edited="0">
                <wp:start x="9471" y="0"/>
                <wp:lineTo x="1542" y="414"/>
                <wp:lineTo x="367" y="724"/>
                <wp:lineTo x="367" y="1758"/>
                <wp:lineTo x="808" y="3413"/>
                <wp:lineTo x="441" y="3620"/>
                <wp:lineTo x="441" y="4033"/>
                <wp:lineTo x="808" y="5067"/>
                <wp:lineTo x="441" y="6102"/>
                <wp:lineTo x="441" y="6515"/>
                <wp:lineTo x="808" y="6722"/>
                <wp:lineTo x="0" y="8377"/>
                <wp:lineTo x="0" y="12306"/>
                <wp:lineTo x="808" y="14995"/>
                <wp:lineTo x="587" y="15512"/>
                <wp:lineTo x="587" y="17787"/>
                <wp:lineTo x="808" y="19959"/>
                <wp:lineTo x="514" y="20269"/>
                <wp:lineTo x="1028" y="20890"/>
                <wp:lineTo x="11233" y="21510"/>
                <wp:lineTo x="11674" y="21510"/>
                <wp:lineTo x="18355" y="21407"/>
                <wp:lineTo x="21512" y="20993"/>
                <wp:lineTo x="21512" y="517"/>
                <wp:lineTo x="12775" y="0"/>
                <wp:lineTo x="9471"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_results___32_2.png"/>
                    <pic:cNvPicPr/>
                  </pic:nvPicPr>
                  <pic:blipFill>
                    <a:blip r:embed="rId61">
                      <a:extLst>
                        <a:ext uri="{28A0092B-C50C-407E-A947-70E740481C1C}">
                          <a14:useLocalDpi xmlns:a14="http://schemas.microsoft.com/office/drawing/2010/main" val="0"/>
                        </a:ext>
                      </a:extLst>
                    </a:blip>
                    <a:stretch>
                      <a:fillRect/>
                    </a:stretch>
                  </pic:blipFill>
                  <pic:spPr>
                    <a:xfrm>
                      <a:off x="0" y="0"/>
                      <a:ext cx="5604510" cy="3978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E2E2E"/>
          <w:sz w:val="27"/>
          <w:szCs w:val="27"/>
        </w:rPr>
        <w:drawing>
          <wp:anchor distT="0" distB="0" distL="114300" distR="114300" simplePos="0" relativeHeight="251661312" behindDoc="1" locked="0" layoutInCell="1" allowOverlap="1" wp14:anchorId="53D24639" wp14:editId="1999B9B5">
            <wp:simplePos x="0" y="0"/>
            <wp:positionH relativeFrom="margin">
              <wp:posOffset>279400</wp:posOffset>
            </wp:positionH>
            <wp:positionV relativeFrom="paragraph">
              <wp:posOffset>4148455</wp:posOffset>
            </wp:positionV>
            <wp:extent cx="5393055" cy="4077970"/>
            <wp:effectExtent l="0" t="0" r="0" b="0"/>
            <wp:wrapTight wrapText="bothSides">
              <wp:wrapPolygon edited="0">
                <wp:start x="10148" y="0"/>
                <wp:lineTo x="839" y="505"/>
                <wp:lineTo x="839" y="1715"/>
                <wp:lineTo x="458" y="2523"/>
                <wp:lineTo x="458" y="2825"/>
                <wp:lineTo x="839" y="3330"/>
                <wp:lineTo x="839" y="4944"/>
                <wp:lineTo x="458" y="5449"/>
                <wp:lineTo x="458" y="5751"/>
                <wp:lineTo x="839" y="6559"/>
                <wp:lineTo x="839" y="8173"/>
                <wp:lineTo x="153" y="8173"/>
                <wp:lineTo x="0" y="8476"/>
                <wp:lineTo x="0" y="12512"/>
                <wp:lineTo x="229" y="13017"/>
                <wp:lineTo x="839" y="13017"/>
                <wp:lineTo x="610" y="14126"/>
                <wp:lineTo x="610" y="17154"/>
                <wp:lineTo x="839" y="19474"/>
                <wp:lineTo x="534" y="20282"/>
                <wp:lineTo x="1221" y="20988"/>
                <wp:lineTo x="10300" y="21391"/>
                <wp:lineTo x="11292" y="21492"/>
                <wp:lineTo x="11674" y="21492"/>
                <wp:lineTo x="20372" y="21089"/>
                <wp:lineTo x="21516" y="20887"/>
                <wp:lineTo x="21516" y="505"/>
                <wp:lineTo x="12742" y="0"/>
                <wp:lineTo x="10148"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_results___32_3.png"/>
                    <pic:cNvPicPr/>
                  </pic:nvPicPr>
                  <pic:blipFill>
                    <a:blip r:embed="rId62">
                      <a:extLst>
                        <a:ext uri="{28A0092B-C50C-407E-A947-70E740481C1C}">
                          <a14:useLocalDpi xmlns:a14="http://schemas.microsoft.com/office/drawing/2010/main" val="0"/>
                        </a:ext>
                      </a:extLst>
                    </a:blip>
                    <a:stretch>
                      <a:fillRect/>
                    </a:stretch>
                  </pic:blipFill>
                  <pic:spPr>
                    <a:xfrm>
                      <a:off x="0" y="0"/>
                      <a:ext cx="5393055" cy="4077970"/>
                    </a:xfrm>
                    <a:prstGeom prst="rect">
                      <a:avLst/>
                    </a:prstGeom>
                  </pic:spPr>
                </pic:pic>
              </a:graphicData>
            </a:graphic>
            <wp14:sizeRelH relativeFrom="page">
              <wp14:pctWidth>0</wp14:pctWidth>
            </wp14:sizeRelH>
            <wp14:sizeRelV relativeFrom="page">
              <wp14:pctHeight>0</wp14:pctHeight>
            </wp14:sizeRelV>
          </wp:anchor>
        </w:drawing>
      </w:r>
    </w:p>
    <w:p w14:paraId="029DBFA7" w14:textId="24F60713" w:rsidR="00BF6791" w:rsidRDefault="00BF6791" w:rsidP="002E7EFA">
      <w:pPr>
        <w:spacing w:after="240" w:line="240" w:lineRule="auto"/>
        <w:rPr>
          <w:rFonts w:ascii="Times New Roman" w:eastAsia="Times New Roman" w:hAnsi="Times New Roman" w:cs="Times New Roman"/>
          <w:color w:val="2E2E2E"/>
          <w:sz w:val="27"/>
          <w:szCs w:val="27"/>
        </w:rPr>
      </w:pPr>
    </w:p>
    <w:p w14:paraId="6272CD3E" w14:textId="569DB0E2" w:rsidR="00E323CE" w:rsidRDefault="00E323CE" w:rsidP="002E7EFA">
      <w:pPr>
        <w:spacing w:after="240" w:line="240" w:lineRule="auto"/>
        <w:rPr>
          <w:rFonts w:ascii="Times New Roman" w:eastAsia="Times New Roman" w:hAnsi="Times New Roman" w:cs="Times New Roman"/>
          <w:color w:val="2E2E2E"/>
          <w:sz w:val="27"/>
          <w:szCs w:val="27"/>
        </w:rPr>
      </w:pPr>
    </w:p>
    <w:p w14:paraId="7A97B679" w14:textId="4F399709" w:rsidR="00625C9D" w:rsidRDefault="00625C9D" w:rsidP="002E7EFA">
      <w:pPr>
        <w:spacing w:after="240" w:line="240" w:lineRule="auto"/>
        <w:rPr>
          <w:rFonts w:ascii="Times New Roman" w:eastAsia="Times New Roman" w:hAnsi="Times New Roman" w:cs="Times New Roman"/>
          <w:color w:val="2E2E2E"/>
          <w:sz w:val="27"/>
          <w:szCs w:val="27"/>
        </w:rPr>
      </w:pPr>
    </w:p>
    <w:p w14:paraId="6F641F0A" w14:textId="6F07BC9D" w:rsidR="00625C9D" w:rsidRDefault="00625C9D" w:rsidP="002E7EFA">
      <w:pPr>
        <w:spacing w:after="240" w:line="240" w:lineRule="auto"/>
        <w:rPr>
          <w:rFonts w:ascii="Times New Roman" w:eastAsia="Times New Roman" w:hAnsi="Times New Roman" w:cs="Times New Roman"/>
          <w:color w:val="2E2E2E"/>
          <w:sz w:val="27"/>
          <w:szCs w:val="27"/>
        </w:rPr>
      </w:pPr>
    </w:p>
    <w:p w14:paraId="16DBC827" w14:textId="089A300D" w:rsidR="00625C9D" w:rsidRDefault="00625C9D" w:rsidP="002E7EFA">
      <w:pPr>
        <w:spacing w:after="240" w:line="240" w:lineRule="auto"/>
        <w:rPr>
          <w:rFonts w:ascii="Times New Roman" w:eastAsia="Times New Roman" w:hAnsi="Times New Roman" w:cs="Times New Roman"/>
          <w:color w:val="2E2E2E"/>
          <w:sz w:val="27"/>
          <w:szCs w:val="27"/>
        </w:rPr>
      </w:pPr>
    </w:p>
    <w:p w14:paraId="1E3218D3" w14:textId="02EF0FAD" w:rsidR="00625C9D" w:rsidRDefault="00625C9D" w:rsidP="002E7EFA">
      <w:pPr>
        <w:spacing w:after="240" w:line="240" w:lineRule="auto"/>
        <w:rPr>
          <w:rFonts w:ascii="Times New Roman" w:eastAsia="Times New Roman" w:hAnsi="Times New Roman" w:cs="Times New Roman"/>
          <w:color w:val="2E2E2E"/>
          <w:sz w:val="27"/>
          <w:szCs w:val="27"/>
        </w:rPr>
      </w:pPr>
    </w:p>
    <w:p w14:paraId="28391C17" w14:textId="31F779B2" w:rsidR="00625C9D" w:rsidRDefault="00625C9D" w:rsidP="002E7EFA">
      <w:pPr>
        <w:spacing w:after="240" w:line="240" w:lineRule="auto"/>
        <w:rPr>
          <w:rFonts w:ascii="Times New Roman" w:eastAsia="Times New Roman" w:hAnsi="Times New Roman" w:cs="Times New Roman"/>
          <w:color w:val="2E2E2E"/>
          <w:sz w:val="27"/>
          <w:szCs w:val="27"/>
        </w:rPr>
      </w:pPr>
    </w:p>
    <w:p w14:paraId="5A9673B4" w14:textId="58E1A47E" w:rsidR="00625C9D" w:rsidRDefault="00625C9D" w:rsidP="002E7EFA">
      <w:pPr>
        <w:spacing w:after="240" w:line="240" w:lineRule="auto"/>
        <w:rPr>
          <w:rFonts w:ascii="Times New Roman" w:eastAsia="Times New Roman" w:hAnsi="Times New Roman" w:cs="Times New Roman"/>
          <w:color w:val="2E2E2E"/>
          <w:sz w:val="27"/>
          <w:szCs w:val="27"/>
        </w:rPr>
      </w:pPr>
    </w:p>
    <w:p w14:paraId="490E4549" w14:textId="77777777" w:rsidR="00625C9D" w:rsidRPr="00625C9D" w:rsidRDefault="00625C9D" w:rsidP="00625C9D">
      <w:pPr>
        <w:spacing w:after="180" w:line="240" w:lineRule="auto"/>
        <w:rPr>
          <w:rFonts w:ascii="Arial" w:eastAsia="Times New Roman" w:hAnsi="Arial" w:cs="Arial"/>
          <w:sz w:val="21"/>
          <w:szCs w:val="21"/>
        </w:rPr>
      </w:pPr>
      <w:r w:rsidRPr="00625C9D">
        <w:rPr>
          <w:rFonts w:ascii="Arial" w:eastAsia="Times New Roman" w:hAnsi="Arial" w:cs="Arial"/>
          <w:b/>
          <w:bCs/>
          <w:sz w:val="21"/>
          <w:szCs w:val="21"/>
        </w:rPr>
        <w:lastRenderedPageBreak/>
        <w:t>inference</w:t>
      </w:r>
    </w:p>
    <w:p w14:paraId="4384EB78" w14:textId="77777777" w:rsidR="00625C9D" w:rsidRPr="00625C9D" w:rsidRDefault="00625C9D" w:rsidP="00625C9D">
      <w:pPr>
        <w:numPr>
          <w:ilvl w:val="0"/>
          <w:numId w:val="13"/>
        </w:numPr>
        <w:spacing w:before="100" w:beforeAutospacing="1" w:after="60" w:line="240" w:lineRule="auto"/>
        <w:rPr>
          <w:rFonts w:ascii="Arial" w:eastAsia="Times New Roman" w:hAnsi="Arial" w:cs="Arial"/>
          <w:sz w:val="21"/>
          <w:szCs w:val="21"/>
        </w:rPr>
      </w:pPr>
      <w:r w:rsidRPr="00625C9D">
        <w:rPr>
          <w:rFonts w:ascii="Consolas" w:eastAsia="Times New Roman" w:hAnsi="Consolas" w:cs="Courier New"/>
          <w:sz w:val="21"/>
          <w:szCs w:val="21"/>
        </w:rPr>
        <w:t>domain1_var1</w:t>
      </w:r>
      <w:r w:rsidRPr="00625C9D">
        <w:rPr>
          <w:rFonts w:ascii="Arial" w:eastAsia="Times New Roman" w:hAnsi="Arial" w:cs="Arial"/>
          <w:sz w:val="21"/>
          <w:szCs w:val="21"/>
        </w:rPr>
        <w:t> has 64 unique values when rounded to nearest integers, 23 is the most frequent.</w:t>
      </w:r>
    </w:p>
    <w:p w14:paraId="5D4A2E4A" w14:textId="77777777" w:rsidR="00625C9D" w:rsidRPr="00625C9D" w:rsidRDefault="00625C9D" w:rsidP="00625C9D">
      <w:pPr>
        <w:numPr>
          <w:ilvl w:val="0"/>
          <w:numId w:val="13"/>
        </w:numPr>
        <w:spacing w:before="100" w:beforeAutospacing="1" w:after="60" w:line="240" w:lineRule="auto"/>
        <w:rPr>
          <w:rFonts w:ascii="Arial" w:eastAsia="Times New Roman" w:hAnsi="Arial" w:cs="Arial"/>
          <w:sz w:val="21"/>
          <w:szCs w:val="21"/>
        </w:rPr>
      </w:pPr>
      <w:r w:rsidRPr="00625C9D">
        <w:rPr>
          <w:rFonts w:ascii="Consolas" w:eastAsia="Times New Roman" w:hAnsi="Consolas" w:cs="Courier New"/>
          <w:sz w:val="21"/>
          <w:szCs w:val="21"/>
        </w:rPr>
        <w:t>domain1_var2</w:t>
      </w:r>
      <w:r w:rsidRPr="00625C9D">
        <w:rPr>
          <w:rFonts w:ascii="Arial" w:eastAsia="Times New Roman" w:hAnsi="Arial" w:cs="Arial"/>
          <w:sz w:val="21"/>
          <w:szCs w:val="21"/>
        </w:rPr>
        <w:t> has 81 unique values when rounded to nearest integers, 28 is the most frequent.</w:t>
      </w:r>
    </w:p>
    <w:p w14:paraId="01DEA29B" w14:textId="77777777" w:rsidR="00625C9D" w:rsidRPr="00625C9D" w:rsidRDefault="00625C9D" w:rsidP="00625C9D">
      <w:pPr>
        <w:numPr>
          <w:ilvl w:val="0"/>
          <w:numId w:val="13"/>
        </w:numPr>
        <w:spacing w:before="100" w:beforeAutospacing="1" w:after="60" w:line="240" w:lineRule="auto"/>
        <w:rPr>
          <w:rFonts w:ascii="Arial" w:eastAsia="Times New Roman" w:hAnsi="Arial" w:cs="Arial"/>
          <w:sz w:val="21"/>
          <w:szCs w:val="21"/>
        </w:rPr>
      </w:pPr>
      <w:r w:rsidRPr="00625C9D">
        <w:rPr>
          <w:rFonts w:ascii="Consolas" w:eastAsia="Times New Roman" w:hAnsi="Consolas" w:cs="Courier New"/>
          <w:sz w:val="21"/>
          <w:szCs w:val="21"/>
        </w:rPr>
        <w:t>domain2_var1</w:t>
      </w:r>
      <w:r w:rsidRPr="00625C9D">
        <w:rPr>
          <w:rFonts w:ascii="Arial" w:eastAsia="Times New Roman" w:hAnsi="Arial" w:cs="Arial"/>
          <w:sz w:val="21"/>
          <w:szCs w:val="21"/>
        </w:rPr>
        <w:t> has 76 unique values when rounded to nearest integers, 16 is the most frequent.</w:t>
      </w:r>
    </w:p>
    <w:p w14:paraId="5510BFFE" w14:textId="77777777" w:rsidR="00625C9D" w:rsidRPr="00625C9D" w:rsidRDefault="00625C9D" w:rsidP="00625C9D">
      <w:pPr>
        <w:numPr>
          <w:ilvl w:val="0"/>
          <w:numId w:val="13"/>
        </w:numPr>
        <w:spacing w:before="100" w:beforeAutospacing="1" w:after="60" w:line="240" w:lineRule="auto"/>
        <w:rPr>
          <w:rFonts w:ascii="Arial" w:eastAsia="Times New Roman" w:hAnsi="Arial" w:cs="Arial"/>
          <w:sz w:val="21"/>
          <w:szCs w:val="21"/>
        </w:rPr>
      </w:pPr>
      <w:r w:rsidRPr="00625C9D">
        <w:rPr>
          <w:rFonts w:ascii="Consolas" w:eastAsia="Times New Roman" w:hAnsi="Consolas" w:cs="Courier New"/>
          <w:sz w:val="21"/>
          <w:szCs w:val="21"/>
        </w:rPr>
        <w:t>domain2_var2</w:t>
      </w:r>
      <w:r w:rsidRPr="00625C9D">
        <w:rPr>
          <w:rFonts w:ascii="Arial" w:eastAsia="Times New Roman" w:hAnsi="Arial" w:cs="Arial"/>
          <w:sz w:val="21"/>
          <w:szCs w:val="21"/>
        </w:rPr>
        <w:t> has 83 unique values when rounded to nearest integers, 22 is the most frequent.</w:t>
      </w:r>
    </w:p>
    <w:p w14:paraId="63706963" w14:textId="77777777" w:rsidR="00625C9D" w:rsidRPr="00A8580F" w:rsidRDefault="00625C9D" w:rsidP="002E7EFA">
      <w:pPr>
        <w:spacing w:after="240" w:line="240" w:lineRule="auto"/>
        <w:rPr>
          <w:rFonts w:ascii="Times New Roman" w:eastAsia="Times New Roman" w:hAnsi="Times New Roman" w:cs="Times New Roman"/>
          <w:color w:val="2E2E2E"/>
          <w:sz w:val="27"/>
          <w:szCs w:val="27"/>
        </w:rPr>
      </w:pPr>
    </w:p>
    <w:p w14:paraId="051066D8"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2.2. fMRI data preprocessing and feature extraction</w:t>
      </w:r>
    </w:p>
    <w:p w14:paraId="61462A5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following preprocessing steps were implemented in AFNI (</w:t>
      </w:r>
      <w:hyperlink r:id="rId63" w:tgtFrame="_blank" w:history="1">
        <w:r w:rsidRPr="00A8580F">
          <w:rPr>
            <w:rFonts w:ascii="Times New Roman" w:eastAsia="Times New Roman" w:hAnsi="Times New Roman" w:cs="Times New Roman"/>
            <w:color w:val="0C7DBB"/>
            <w:sz w:val="27"/>
            <w:szCs w:val="27"/>
            <w:u w:val="single"/>
          </w:rPr>
          <w:t>http://afni.nimh.nih.gov/</w:t>
        </w:r>
      </w:hyperlink>
      <w:r w:rsidRPr="00A8580F">
        <w:rPr>
          <w:rFonts w:ascii="Times New Roman" w:eastAsia="Times New Roman" w:hAnsi="Times New Roman" w:cs="Times New Roman"/>
          <w:color w:val="2E2E2E"/>
          <w:sz w:val="27"/>
          <w:szCs w:val="27"/>
        </w:rPr>
        <w:t>): (1) The first two frames of each fMRI run were discarded; 2) Slice timing correction; 3) Rigid head motion correction/realignment within and across runs; frame-wise displacement (FD) of head motion was calculated using frame-wise Euclidean Norm (square root of the sum squares) of the six-dimensional motion derivatives. Each frame, and the frame prior, were tagged as zeros (ones, otherwise) if the given frame’s derivative value has a Euclidean Norm above FD = 0.5 mm (</w:t>
      </w:r>
      <w:hyperlink r:id="rId64" w:anchor="bib51" w:history="1">
        <w:r w:rsidRPr="00A8580F">
          <w:rPr>
            <w:rFonts w:ascii="Times New Roman" w:eastAsia="Times New Roman" w:hAnsi="Times New Roman" w:cs="Times New Roman"/>
            <w:color w:val="0C7DBB"/>
            <w:sz w:val="27"/>
            <w:szCs w:val="27"/>
            <w:u w:val="single"/>
          </w:rPr>
          <w:t>Huang et al., 2018c</w:t>
        </w:r>
      </w:hyperlink>
      <w:bookmarkEnd w:id="46"/>
      <w:r w:rsidRPr="00A8580F">
        <w:rPr>
          <w:rFonts w:ascii="Times New Roman" w:eastAsia="Times New Roman" w:hAnsi="Times New Roman" w:cs="Times New Roman"/>
          <w:color w:val="2E2E2E"/>
          <w:sz w:val="27"/>
          <w:szCs w:val="27"/>
        </w:rPr>
        <w:t xml:space="preserve">) 4) </w:t>
      </w:r>
      <w:proofErr w:type="spellStart"/>
      <w:r w:rsidRPr="00A8580F">
        <w:rPr>
          <w:rFonts w:ascii="Times New Roman" w:eastAsia="Times New Roman" w:hAnsi="Times New Roman" w:cs="Times New Roman"/>
          <w:color w:val="2E2E2E"/>
          <w:sz w:val="27"/>
          <w:szCs w:val="27"/>
        </w:rPr>
        <w:t>Coregistration</w:t>
      </w:r>
      <w:proofErr w:type="spellEnd"/>
      <w:r w:rsidRPr="00A8580F">
        <w:rPr>
          <w:rFonts w:ascii="Times New Roman" w:eastAsia="Times New Roman" w:hAnsi="Times New Roman" w:cs="Times New Roman"/>
          <w:color w:val="2E2E2E"/>
          <w:sz w:val="27"/>
          <w:szCs w:val="27"/>
        </w:rPr>
        <w:t xml:space="preserve"> with high-resolution anatomical images; 5) </w:t>
      </w:r>
      <w:hyperlink r:id="rId65" w:tooltip="Learn more about Spatial normalization from ScienceDirect's AI-generated Topic Pages" w:history="1">
        <w:r w:rsidRPr="00A8580F">
          <w:rPr>
            <w:rFonts w:ascii="Times New Roman" w:eastAsia="Times New Roman" w:hAnsi="Times New Roman" w:cs="Times New Roman"/>
            <w:color w:val="2E2E2E"/>
            <w:sz w:val="27"/>
            <w:szCs w:val="27"/>
            <w:u w:val="single"/>
          </w:rPr>
          <w:t>Spatial normalization</w:t>
        </w:r>
      </w:hyperlink>
      <w:r w:rsidRPr="00A8580F">
        <w:rPr>
          <w:rFonts w:ascii="Times New Roman" w:eastAsia="Times New Roman" w:hAnsi="Times New Roman" w:cs="Times New Roman"/>
          <w:color w:val="2E2E2E"/>
          <w:sz w:val="27"/>
          <w:szCs w:val="27"/>
        </w:rPr>
        <w:t xml:space="preserve"> into </w:t>
      </w:r>
      <w:proofErr w:type="spellStart"/>
      <w:r w:rsidRPr="00A8580F">
        <w:rPr>
          <w:rFonts w:ascii="Times New Roman" w:eastAsia="Times New Roman" w:hAnsi="Times New Roman" w:cs="Times New Roman"/>
          <w:color w:val="2E2E2E"/>
          <w:sz w:val="27"/>
          <w:szCs w:val="27"/>
        </w:rPr>
        <w:t>Talaraich</w:t>
      </w:r>
      <w:proofErr w:type="spellEnd"/>
      <w:r w:rsidRPr="00A8580F">
        <w:rPr>
          <w:rFonts w:ascii="Times New Roman" w:eastAsia="Times New Roman" w:hAnsi="Times New Roman" w:cs="Times New Roman"/>
          <w:color w:val="2E2E2E"/>
          <w:sz w:val="27"/>
          <w:szCs w:val="27"/>
        </w:rPr>
        <w:t xml:space="preserve"> stereotactic space; 6) Using AFNI’s function 3dTproject, the time-censored data were band-pass filtered to 0.01–0.1 Hz. At the same time, various undesired components (e.g., physiological estimates, motion parameters) were removed via </w:t>
      </w:r>
      <w:hyperlink r:id="rId66" w:tooltip="Learn more about linear regression from ScienceDirect's AI-generated Topic Pages" w:history="1">
        <w:r w:rsidRPr="00A8580F">
          <w:rPr>
            <w:rFonts w:ascii="Times New Roman" w:eastAsia="Times New Roman" w:hAnsi="Times New Roman" w:cs="Times New Roman"/>
            <w:color w:val="2E2E2E"/>
            <w:sz w:val="27"/>
            <w:szCs w:val="27"/>
            <w:u w:val="single"/>
          </w:rPr>
          <w:t>linear regression</w:t>
        </w:r>
      </w:hyperlink>
      <w:r w:rsidRPr="00A8580F">
        <w:rPr>
          <w:rFonts w:ascii="Times New Roman" w:eastAsia="Times New Roman" w:hAnsi="Times New Roman" w:cs="Times New Roman"/>
          <w:color w:val="2E2E2E"/>
          <w:sz w:val="27"/>
          <w:szCs w:val="27"/>
        </w:rPr>
        <w:t>. The undesired components included linear and nonlinear drift, time series of head motion and its temporal derivative, binarized FD time series, and mean time series from the white matter and </w:t>
      </w:r>
      <w:hyperlink r:id="rId67" w:tooltip="Learn more about cerebrospinal fluid from ScienceDirect's AI-generated Topic Pages" w:history="1">
        <w:r w:rsidRPr="00A8580F">
          <w:rPr>
            <w:rFonts w:ascii="Times New Roman" w:eastAsia="Times New Roman" w:hAnsi="Times New Roman" w:cs="Times New Roman"/>
            <w:color w:val="2E2E2E"/>
            <w:sz w:val="27"/>
            <w:szCs w:val="27"/>
            <w:u w:val="single"/>
          </w:rPr>
          <w:t>cerebrospinal fluid</w:t>
        </w:r>
      </w:hyperlink>
      <w:r w:rsidRPr="00A8580F">
        <w:rPr>
          <w:rFonts w:ascii="Times New Roman" w:eastAsia="Times New Roman" w:hAnsi="Times New Roman" w:cs="Times New Roman"/>
          <w:color w:val="2E2E2E"/>
          <w:sz w:val="27"/>
          <w:szCs w:val="27"/>
        </w:rPr>
        <w:t>; 7) Spatial smoothing with 6 mm full-width at half-maximum isotropic Gaussian kernel; 8) The time-course per voxel of each run was normalized to zero mean and unit variance, accounting for differences in variance of non-neural origin (e.g., distance from head coil). Lastly, global signal regression (GSR) was not included in the following analysis as it may introduce artificial anti-correlations between regions, and therefore bias the results or interpretations (</w:t>
      </w:r>
      <w:bookmarkStart w:id="57" w:name="bbib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Anderson et al., 2011</w:t>
      </w:r>
      <w:r w:rsidRPr="00A8580F">
        <w:rPr>
          <w:rFonts w:ascii="Times New Roman" w:eastAsia="Times New Roman" w:hAnsi="Times New Roman" w:cs="Times New Roman"/>
          <w:color w:val="2E2E2E"/>
          <w:sz w:val="27"/>
          <w:szCs w:val="27"/>
        </w:rPr>
        <w:fldChar w:fldCharType="end"/>
      </w:r>
      <w:bookmarkEnd w:id="57"/>
      <w:r w:rsidRPr="00A8580F">
        <w:rPr>
          <w:rFonts w:ascii="Times New Roman" w:eastAsia="Times New Roman" w:hAnsi="Times New Roman" w:cs="Times New Roman"/>
          <w:color w:val="2E2E2E"/>
          <w:sz w:val="27"/>
          <w:szCs w:val="27"/>
        </w:rPr>
        <w:t>; </w:t>
      </w:r>
      <w:bookmarkStart w:id="58" w:name="bbib3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Fox et al., 2009</w:t>
      </w:r>
      <w:r w:rsidRPr="00A8580F">
        <w:rPr>
          <w:rFonts w:ascii="Times New Roman" w:eastAsia="Times New Roman" w:hAnsi="Times New Roman" w:cs="Times New Roman"/>
          <w:color w:val="2E2E2E"/>
          <w:sz w:val="27"/>
          <w:szCs w:val="27"/>
        </w:rPr>
        <w:fldChar w:fldCharType="end"/>
      </w:r>
      <w:bookmarkEnd w:id="58"/>
      <w:r w:rsidRPr="00A8580F">
        <w:rPr>
          <w:rFonts w:ascii="Times New Roman" w:eastAsia="Times New Roman" w:hAnsi="Times New Roman" w:cs="Times New Roman"/>
          <w:color w:val="2E2E2E"/>
          <w:sz w:val="27"/>
          <w:szCs w:val="27"/>
        </w:rPr>
        <w:t>; </w:t>
      </w:r>
      <w:bookmarkStart w:id="59" w:name="bbib6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Murphy et al., 2009</w:t>
      </w:r>
      <w:r w:rsidRPr="00A8580F">
        <w:rPr>
          <w:rFonts w:ascii="Times New Roman" w:eastAsia="Times New Roman" w:hAnsi="Times New Roman" w:cs="Times New Roman"/>
          <w:color w:val="2E2E2E"/>
          <w:sz w:val="27"/>
          <w:szCs w:val="27"/>
        </w:rPr>
        <w:fldChar w:fldCharType="end"/>
      </w:r>
      <w:bookmarkEnd w:id="59"/>
      <w:r w:rsidRPr="00A8580F">
        <w:rPr>
          <w:rFonts w:ascii="Times New Roman" w:eastAsia="Times New Roman" w:hAnsi="Times New Roman" w:cs="Times New Roman"/>
          <w:color w:val="2E2E2E"/>
          <w:sz w:val="27"/>
          <w:szCs w:val="27"/>
        </w:rPr>
        <w:t>, </w:t>
      </w:r>
      <w:bookmarkStart w:id="60" w:name="bbib6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2016</w:t>
      </w:r>
      <w:r w:rsidRPr="00A8580F">
        <w:rPr>
          <w:rFonts w:ascii="Times New Roman" w:eastAsia="Times New Roman" w:hAnsi="Times New Roman" w:cs="Times New Roman"/>
          <w:color w:val="2E2E2E"/>
          <w:sz w:val="27"/>
          <w:szCs w:val="27"/>
        </w:rPr>
        <w:fldChar w:fldCharType="end"/>
      </w:r>
      <w:bookmarkEnd w:id="60"/>
      <w:r w:rsidRPr="00A8580F">
        <w:rPr>
          <w:rFonts w:ascii="Times New Roman" w:eastAsia="Times New Roman" w:hAnsi="Times New Roman" w:cs="Times New Roman"/>
          <w:color w:val="2E2E2E"/>
          <w:sz w:val="27"/>
          <w:szCs w:val="27"/>
        </w:rPr>
        <w:t>; </w:t>
      </w:r>
      <w:bookmarkStart w:id="61" w:name="bbib8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Saad et al., 2012</w:t>
      </w:r>
      <w:r w:rsidRPr="00A8580F">
        <w:rPr>
          <w:rFonts w:ascii="Times New Roman" w:eastAsia="Times New Roman" w:hAnsi="Times New Roman" w:cs="Times New Roman"/>
          <w:color w:val="2E2E2E"/>
          <w:sz w:val="27"/>
          <w:szCs w:val="27"/>
        </w:rPr>
        <w:fldChar w:fldCharType="end"/>
      </w:r>
      <w:bookmarkEnd w:id="61"/>
      <w:r w:rsidRPr="00A8580F">
        <w:rPr>
          <w:rFonts w:ascii="Times New Roman" w:eastAsia="Times New Roman" w:hAnsi="Times New Roman" w:cs="Times New Roman"/>
          <w:color w:val="2E2E2E"/>
          <w:sz w:val="27"/>
          <w:szCs w:val="27"/>
        </w:rPr>
        <w:t>).</w:t>
      </w:r>
    </w:p>
    <w:p w14:paraId="5BD3E69C"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2.3. Definition of functional networks</w:t>
      </w:r>
    </w:p>
    <w:p w14:paraId="6B42CAAE"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adopted a well-established node template (</w:t>
      </w:r>
      <w:bookmarkStart w:id="62" w:name="bbib7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Power et al., 2011</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that had been slightly modified for a previous study (</w:t>
      </w:r>
      <w:hyperlink r:id="rId68" w:anchor="bib47" w:history="1">
        <w:r w:rsidRPr="00A8580F">
          <w:rPr>
            <w:rFonts w:ascii="Times New Roman" w:eastAsia="Times New Roman" w:hAnsi="Times New Roman" w:cs="Times New Roman"/>
            <w:color w:val="0C7DBB"/>
            <w:sz w:val="27"/>
            <w:szCs w:val="27"/>
            <w:u w:val="single"/>
          </w:rPr>
          <w:t>Huang et al., 2018a</w:t>
        </w:r>
      </w:hyperlink>
      <w:bookmarkEnd w:id="27"/>
      <w:r w:rsidRPr="00A8580F">
        <w:rPr>
          <w:rFonts w:ascii="Times New Roman" w:eastAsia="Times New Roman" w:hAnsi="Times New Roman" w:cs="Times New Roman"/>
          <w:color w:val="2E2E2E"/>
          <w:sz w:val="27"/>
          <w:szCs w:val="27"/>
        </w:rPr>
        <w:t xml:space="preserve">) containing 226 nodes (10 mm diameter spheres, 32 voxels per sphere) within 10 functional networks: subcortical (Sub), dorsal attention (DA), ventral attention (VA), default mode (DMN), frontoparietal task control (FPTC), cingulo-opercular task control (COTC), salience </w:t>
      </w:r>
      <w:r w:rsidRPr="00A8580F">
        <w:rPr>
          <w:rFonts w:ascii="Times New Roman" w:eastAsia="Times New Roman" w:hAnsi="Times New Roman" w:cs="Times New Roman"/>
          <w:color w:val="2E2E2E"/>
          <w:sz w:val="27"/>
          <w:szCs w:val="27"/>
        </w:rPr>
        <w:lastRenderedPageBreak/>
        <w:t>(Sal), sensory/</w:t>
      </w:r>
      <w:proofErr w:type="spellStart"/>
      <w:r w:rsidRPr="00A8580F">
        <w:rPr>
          <w:rFonts w:ascii="Times New Roman" w:eastAsia="Times New Roman" w:hAnsi="Times New Roman" w:cs="Times New Roman"/>
          <w:color w:val="2E2E2E"/>
          <w:sz w:val="27"/>
          <w:szCs w:val="27"/>
        </w:rPr>
        <w:t>somatomotor</w:t>
      </w:r>
      <w:proofErr w:type="spellEnd"/>
      <w:r w:rsidRPr="00A8580F">
        <w:rPr>
          <w:rFonts w:ascii="Times New Roman" w:eastAsia="Times New Roman" w:hAnsi="Times New Roman" w:cs="Times New Roman"/>
          <w:color w:val="2E2E2E"/>
          <w:sz w:val="27"/>
          <w:szCs w:val="27"/>
        </w:rPr>
        <w:t xml:space="preserve"> (SS), auditory (Audi), and visual networks (Visual) (</w:t>
      </w:r>
      <w:bookmarkStart w:id="63" w:name="bfig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2</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w:t>
      </w:r>
    </w:p>
    <w:p w14:paraId="7C667782" w14:textId="30D5FB4A"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7C6F59F9" wp14:editId="427C2CF8">
            <wp:extent cx="5943600" cy="1610995"/>
            <wp:effectExtent l="0" t="0" r="0" b="8255"/>
            <wp:docPr id="9" name="Picture 9"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610995"/>
                    </a:xfrm>
                    <a:prstGeom prst="rect">
                      <a:avLst/>
                    </a:prstGeom>
                    <a:noFill/>
                    <a:ln>
                      <a:noFill/>
                    </a:ln>
                  </pic:spPr>
                </pic:pic>
              </a:graphicData>
            </a:graphic>
          </wp:inline>
        </w:drawing>
      </w:r>
    </w:p>
    <w:p w14:paraId="58E8661C" w14:textId="170DB553" w:rsidR="002E7EFA" w:rsidRDefault="002E7EFA" w:rsidP="00225290">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2. Extraction of model features using fMRI-based measures of resting state activity.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Node template representing anatomical location of 226 seed regions of interest (ROIs) consolidated into 10 networks (</w:t>
      </w:r>
      <w:hyperlink r:id="rId70" w:anchor="bib76" w:history="1">
        <w:r w:rsidRPr="00A8580F">
          <w:rPr>
            <w:rFonts w:ascii="Times New Roman" w:eastAsia="Times New Roman" w:hAnsi="Times New Roman" w:cs="Times New Roman"/>
            <w:color w:val="0C7DBB"/>
            <w:sz w:val="24"/>
            <w:szCs w:val="24"/>
            <w:u w:val="single"/>
          </w:rPr>
          <w:t>Power et al., 2011</w:t>
        </w:r>
      </w:hyperlink>
      <w:bookmarkEnd w:id="62"/>
      <w:r w:rsidRPr="00A8580F">
        <w:rPr>
          <w:rFonts w:ascii="Times New Roman" w:eastAsia="Times New Roman" w:hAnsi="Times New Roman" w:cs="Times New Roman"/>
          <w:color w:val="2E2E2E"/>
          <w:sz w:val="24"/>
          <w:szCs w:val="24"/>
        </w:rPr>
        <w:t>): subcortical (Sub), ventral attention (VA), frontoparietal task control (FPTC), salience (Sal), auditory (Audi), dorsal attention (DA), default mode (DMN), cinguloopercular task control (COTC), sensory/</w:t>
      </w:r>
      <w:proofErr w:type="spellStart"/>
      <w:r w:rsidRPr="00A8580F">
        <w:rPr>
          <w:rFonts w:ascii="Times New Roman" w:eastAsia="Times New Roman" w:hAnsi="Times New Roman" w:cs="Times New Roman"/>
          <w:color w:val="2E2E2E"/>
          <w:sz w:val="24"/>
          <w:szCs w:val="24"/>
        </w:rPr>
        <w:t>somatomotor</w:t>
      </w:r>
      <w:proofErr w:type="spellEnd"/>
      <w:r w:rsidRPr="00A8580F">
        <w:rPr>
          <w:rFonts w:ascii="Times New Roman" w:eastAsia="Times New Roman" w:hAnsi="Times New Roman" w:cs="Times New Roman"/>
          <w:color w:val="2E2E2E"/>
          <w:sz w:val="24"/>
          <w:szCs w:val="24"/>
        </w:rPr>
        <w:t xml:space="preserve"> (SS), visual (Visual).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Raw </w:t>
      </w:r>
      <w:hyperlink r:id="rId71" w:tooltip="Learn more about functional connectivity from ScienceDirect's AI-generated Topic Pages" w:history="1">
        <w:r w:rsidRPr="00A8580F">
          <w:rPr>
            <w:rFonts w:ascii="Times New Roman" w:eastAsia="Times New Roman" w:hAnsi="Times New Roman" w:cs="Times New Roman"/>
            <w:color w:val="2E2E2E"/>
            <w:sz w:val="24"/>
            <w:szCs w:val="24"/>
            <w:u w:val="single"/>
          </w:rPr>
          <w:t>functional connectivity</w:t>
        </w:r>
      </w:hyperlink>
      <w:r w:rsidRPr="00A8580F">
        <w:rPr>
          <w:rFonts w:ascii="Times New Roman" w:eastAsia="Times New Roman" w:hAnsi="Times New Roman" w:cs="Times New Roman"/>
          <w:color w:val="2E2E2E"/>
          <w:sz w:val="24"/>
          <w:szCs w:val="24"/>
        </w:rPr>
        <w:t> map (left) generated from seed-based pairwise Pearson correlations between 226 ROIs. Activity was averaged according to network template yielding measures of between network (off-diagonal) and within network (on-diagonal) functional connectivity (middle). Two additional measures of functional segregation, the amplitude of low-frequency fluctuations (ALFF) and regional homogeneity (</w:t>
      </w:r>
      <w:proofErr w:type="spellStart"/>
      <w:r w:rsidRPr="00A8580F">
        <w:rPr>
          <w:rFonts w:ascii="Times New Roman" w:eastAsia="Times New Roman" w:hAnsi="Times New Roman" w:cs="Times New Roman"/>
          <w:color w:val="2E2E2E"/>
          <w:sz w:val="24"/>
          <w:szCs w:val="24"/>
        </w:rPr>
        <w:t>ReHo</w:t>
      </w:r>
      <w:proofErr w:type="spellEnd"/>
      <w:r w:rsidRPr="00A8580F">
        <w:rPr>
          <w:rFonts w:ascii="Times New Roman" w:eastAsia="Times New Roman" w:hAnsi="Times New Roman" w:cs="Times New Roman"/>
          <w:color w:val="2E2E2E"/>
          <w:sz w:val="24"/>
          <w:szCs w:val="24"/>
        </w:rPr>
        <w:t>), were calculated independently using the network templates.</w:t>
      </w:r>
    </w:p>
    <w:p w14:paraId="03F1F6EA" w14:textId="5E5F091E" w:rsidR="00114ADF" w:rsidRDefault="00114ADF" w:rsidP="00225290">
      <w:pPr>
        <w:spacing w:after="0" w:line="330" w:lineRule="atLeast"/>
        <w:ind w:right="360"/>
        <w:rPr>
          <w:rFonts w:ascii="Times New Roman" w:eastAsia="Times New Roman" w:hAnsi="Times New Roman" w:cs="Times New Roman"/>
          <w:color w:val="2E2E2E"/>
          <w:sz w:val="24"/>
          <w:szCs w:val="24"/>
        </w:rPr>
      </w:pPr>
    </w:p>
    <w:p w14:paraId="0B8B4377" w14:textId="77777777" w:rsidR="00114ADF" w:rsidRPr="00A8580F" w:rsidRDefault="00114ADF" w:rsidP="00114ADF">
      <w:pPr>
        <w:spacing w:after="0" w:line="330" w:lineRule="atLeast"/>
        <w:ind w:right="360"/>
        <w:rPr>
          <w:rFonts w:ascii="Times New Roman" w:eastAsia="Times New Roman" w:hAnsi="Times New Roman" w:cs="Times New Roman"/>
          <w:color w:val="2E2E2E"/>
          <w:sz w:val="24"/>
          <w:szCs w:val="24"/>
        </w:rPr>
      </w:pPr>
      <w:r>
        <w:rPr>
          <w:rFonts w:ascii="Times New Roman" w:eastAsia="Times New Roman" w:hAnsi="Times New Roman" w:cs="Times New Roman"/>
          <w:color w:val="2E2E2E"/>
          <w:sz w:val="24"/>
          <w:szCs w:val="24"/>
        </w:rPr>
        <w:t>In 4 Domain we analysis and find some Distribution of features IC_01 to IC_29. There we find 28 IC.</w:t>
      </w:r>
    </w:p>
    <w:p w14:paraId="7EEDA1EE" w14:textId="77777777" w:rsidR="00114ADF" w:rsidRDefault="00114ADF" w:rsidP="00225290">
      <w:pPr>
        <w:spacing w:after="0" w:line="330" w:lineRule="atLeast"/>
        <w:ind w:right="360"/>
        <w:rPr>
          <w:rFonts w:ascii="Times New Roman" w:eastAsia="Times New Roman" w:hAnsi="Times New Roman" w:cs="Times New Roman"/>
          <w:color w:val="2E2E2E"/>
          <w:sz w:val="24"/>
          <w:szCs w:val="24"/>
        </w:rPr>
      </w:pPr>
    </w:p>
    <w:p w14:paraId="32DCE111" w14:textId="78A7F163" w:rsidR="00625C9D" w:rsidRDefault="00625C9D" w:rsidP="00225290">
      <w:pPr>
        <w:spacing w:after="0" w:line="330" w:lineRule="atLeast"/>
        <w:ind w:right="360"/>
        <w:rPr>
          <w:rFonts w:ascii="Times New Roman" w:eastAsia="Times New Roman" w:hAnsi="Times New Roman" w:cs="Times New Roman"/>
          <w:color w:val="2E2E2E"/>
          <w:sz w:val="24"/>
          <w:szCs w:val="24"/>
        </w:rPr>
      </w:pPr>
      <w:r>
        <w:rPr>
          <w:rFonts w:ascii="Times New Roman" w:eastAsia="Times New Roman" w:hAnsi="Times New Roman" w:cs="Times New Roman"/>
          <w:noProof/>
          <w:color w:val="2E2E2E"/>
          <w:sz w:val="24"/>
          <w:szCs w:val="24"/>
        </w:rPr>
        <w:lastRenderedPageBreak/>
        <w:drawing>
          <wp:inline distT="0" distB="0" distL="0" distR="0" wp14:anchorId="16301648" wp14:editId="20210F24">
            <wp:extent cx="5943600" cy="4326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__results___42_1.png"/>
                    <pic:cNvPicPr/>
                  </pic:nvPicPr>
                  <pic:blipFill>
                    <a:blip r:embed="rId72">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14:paraId="4DF39C94" w14:textId="2E2D7215" w:rsidR="00114ADF" w:rsidRPr="00114ADF" w:rsidRDefault="00114ADF" w:rsidP="00114ADF">
      <w:pPr>
        <w:pStyle w:val="HTMLPreformatted"/>
        <w:wordWrap w:val="0"/>
        <w:textAlignment w:val="baseline"/>
        <w:rPr>
          <w:rFonts w:ascii="Times New Roman" w:hAnsi="Times New Roman" w:cs="Times New Roman"/>
          <w:sz w:val="27"/>
          <w:szCs w:val="27"/>
        </w:rPr>
      </w:pPr>
      <w:r w:rsidRPr="00114ADF">
        <w:rPr>
          <w:rFonts w:ascii="Times New Roman" w:hAnsi="Times New Roman" w:cs="Times New Roman"/>
          <w:color w:val="2E2E2E"/>
          <w:sz w:val="27"/>
          <w:szCs w:val="27"/>
        </w:rPr>
        <w:t>Th</w:t>
      </w:r>
      <w:r w:rsidRPr="00114ADF">
        <w:rPr>
          <w:rFonts w:ascii="Times New Roman" w:hAnsi="Times New Roman" w:cs="Times New Roman"/>
          <w:sz w:val="27"/>
          <w:szCs w:val="27"/>
        </w:rPr>
        <w:t xml:space="preserve">ere </w:t>
      </w:r>
      <w:r w:rsidRPr="00114ADF">
        <w:rPr>
          <w:rFonts w:ascii="Times New Roman" w:hAnsi="Times New Roman" w:cs="Times New Roman"/>
          <w:sz w:val="27"/>
          <w:szCs w:val="27"/>
        </w:rPr>
        <w:t xml:space="preserve">Very high correlated </w:t>
      </w:r>
      <w:r w:rsidRPr="00114ADF">
        <w:rPr>
          <w:rFonts w:ascii="Times New Roman" w:hAnsi="Times New Roman" w:cs="Times New Roman"/>
          <w:sz w:val="27"/>
          <w:szCs w:val="27"/>
        </w:rPr>
        <w:t>features: [</w:t>
      </w:r>
      <w:r w:rsidRPr="00114ADF">
        <w:rPr>
          <w:rFonts w:ascii="Times New Roman" w:hAnsi="Times New Roman" w:cs="Times New Roman"/>
          <w:sz w:val="27"/>
          <w:szCs w:val="27"/>
        </w:rPr>
        <w:t>'IC_17', 'IC_02', 'IC_11', 'IC_22', 'IC_14']</w:t>
      </w:r>
      <w:r w:rsidRPr="00114ADF">
        <w:rPr>
          <w:rFonts w:ascii="Times New Roman" w:hAnsi="Times New Roman" w:cs="Times New Roman"/>
          <w:sz w:val="27"/>
          <w:szCs w:val="27"/>
        </w:rPr>
        <w:t xml:space="preserve">. </w:t>
      </w:r>
    </w:p>
    <w:p w14:paraId="207E497A" w14:textId="4FD60034" w:rsidR="00114ADF" w:rsidRPr="00114ADF" w:rsidRDefault="00114ADF" w:rsidP="00114ADF">
      <w:pPr>
        <w:pStyle w:val="HTMLPreformatted"/>
        <w:wordWrap w:val="0"/>
        <w:textAlignment w:val="baseline"/>
        <w:rPr>
          <w:rFonts w:ascii="Times New Roman" w:hAnsi="Times New Roman" w:cs="Times New Roman"/>
          <w:sz w:val="27"/>
          <w:szCs w:val="27"/>
        </w:rPr>
      </w:pPr>
      <w:r w:rsidRPr="00114ADF">
        <w:rPr>
          <w:rFonts w:ascii="Times New Roman" w:hAnsi="Times New Roman" w:cs="Times New Roman"/>
          <w:sz w:val="27"/>
          <w:szCs w:val="27"/>
        </w:rPr>
        <w:t xml:space="preserve">In this dataset is very difficult for analysis. We have tried many Function but they don’t work. At Last I </w:t>
      </w:r>
      <w:proofErr w:type="spellStart"/>
      <w:r w:rsidRPr="00114ADF">
        <w:rPr>
          <w:rFonts w:ascii="Times New Roman" w:hAnsi="Times New Roman" w:cs="Times New Roman"/>
          <w:sz w:val="27"/>
          <w:szCs w:val="27"/>
        </w:rPr>
        <w:t>a</w:t>
      </w:r>
      <w:proofErr w:type="spellEnd"/>
      <w:r w:rsidRPr="00114ADF">
        <w:rPr>
          <w:rFonts w:ascii="Times New Roman" w:hAnsi="Times New Roman" w:cs="Times New Roman"/>
          <w:sz w:val="27"/>
          <w:szCs w:val="27"/>
        </w:rPr>
        <w:t xml:space="preserve"> using joypy for draw plot then we analysis and find this feature.</w:t>
      </w:r>
    </w:p>
    <w:p w14:paraId="6476EADD" w14:textId="41EBF74D" w:rsidR="00114ADF" w:rsidRPr="00114ADF" w:rsidRDefault="00114ADF" w:rsidP="00114ADF">
      <w:pPr>
        <w:pStyle w:val="NormalWeb"/>
        <w:spacing w:before="0" w:beforeAutospacing="0" w:after="240" w:afterAutospacing="0"/>
        <w:rPr>
          <w:sz w:val="27"/>
          <w:szCs w:val="27"/>
        </w:rPr>
      </w:pPr>
      <w:r w:rsidRPr="00114ADF">
        <w:rPr>
          <w:sz w:val="27"/>
          <w:szCs w:val="27"/>
        </w:rPr>
        <w:t xml:space="preserve">Here we will see, how to load and display subject spatial map information for fMRI spatial maps. In </w:t>
      </w:r>
      <w:r w:rsidRPr="00114ADF">
        <w:rPr>
          <w:sz w:val="27"/>
          <w:szCs w:val="27"/>
        </w:rPr>
        <w:t>general,</w:t>
      </w:r>
      <w:r w:rsidRPr="00114ADF">
        <w:rPr>
          <w:sz w:val="27"/>
          <w:szCs w:val="27"/>
        </w:rPr>
        <w:t xml:space="preserve"> the spatial maps are saved as 4-D tensors</w:t>
      </w:r>
    </w:p>
    <w:p w14:paraId="411D1300" w14:textId="2E3B5881" w:rsidR="00114ADF" w:rsidRPr="00114ADF" w:rsidRDefault="00114ADF" w:rsidP="00114ADF">
      <w:pPr>
        <w:pStyle w:val="NormalWeb"/>
        <w:spacing w:before="0" w:beforeAutospacing="0" w:after="240" w:afterAutospacing="0"/>
        <w:rPr>
          <w:sz w:val="27"/>
          <w:szCs w:val="27"/>
        </w:rPr>
      </w:pPr>
      <m:oMathPara>
        <m:oMath>
          <m:r>
            <w:rPr>
              <w:rFonts w:ascii="Cambria Math" w:hAnsi="Cambria Math" w:cs="Cambria Math"/>
              <w:sz w:val="27"/>
              <w:szCs w:val="27"/>
            </w:rPr>
            <m:t>i∈</m:t>
          </m:r>
          <m:r>
            <m:rPr>
              <m:scr m:val="double-struck"/>
            </m:rPr>
            <w:rPr>
              <w:rFonts w:ascii="Cambria Math" w:hAnsi="Cambria Math"/>
              <w:sz w:val="27"/>
              <w:szCs w:val="27"/>
            </w:rPr>
            <m:t>R</m:t>
          </m:r>
          <m:r>
            <w:rPr>
              <w:rFonts w:ascii="Cambria Math" w:hAnsi="Cambria Math" w:cs="Cambria Math"/>
              <w:sz w:val="27"/>
              <w:szCs w:val="27"/>
            </w:rPr>
            <m:t>X</m:t>
          </m:r>
          <m:r>
            <w:rPr>
              <w:rFonts w:ascii="Cambria Math" w:hAnsi="Cambria Math"/>
              <w:sz w:val="27"/>
              <w:szCs w:val="27"/>
            </w:rPr>
            <m:t>×</m:t>
          </m:r>
          <m:r>
            <w:rPr>
              <w:rFonts w:ascii="Cambria Math" w:hAnsi="Cambria Math" w:cs="Cambria Math"/>
              <w:sz w:val="27"/>
              <w:szCs w:val="27"/>
            </w:rPr>
            <m:t>Y</m:t>
          </m:r>
          <m:r>
            <w:rPr>
              <w:rFonts w:ascii="Cambria Math" w:hAnsi="Cambria Math"/>
              <w:sz w:val="27"/>
              <w:szCs w:val="27"/>
            </w:rPr>
            <m:t>×</m:t>
          </m:r>
          <m:r>
            <w:rPr>
              <w:rFonts w:ascii="Cambria Math" w:hAnsi="Cambria Math" w:cs="Cambria Math"/>
              <w:sz w:val="27"/>
              <w:szCs w:val="27"/>
            </w:rPr>
            <m:t>Z</m:t>
          </m:r>
          <m:r>
            <w:rPr>
              <w:rFonts w:ascii="Cambria Math" w:hAnsi="Cambria Math"/>
              <w:sz w:val="27"/>
              <w:szCs w:val="27"/>
            </w:rPr>
            <m:t>×</m:t>
          </m:r>
          <m:r>
            <w:rPr>
              <w:rFonts w:ascii="Cambria Math" w:hAnsi="Cambria Math" w:cs="Cambria Math"/>
              <w:sz w:val="27"/>
              <w:szCs w:val="27"/>
            </w:rPr>
            <m:t>K</m:t>
          </m:r>
        </m:oMath>
      </m:oMathPara>
    </w:p>
    <w:p w14:paraId="5DE455E7" w14:textId="7E3FFB76" w:rsidR="00114ADF" w:rsidRPr="00114ADF" w:rsidRDefault="00114ADF" w:rsidP="00114ADF">
      <w:pPr>
        <w:pStyle w:val="NormalWeb"/>
        <w:spacing w:before="0" w:beforeAutospacing="0" w:after="240" w:afterAutospacing="0"/>
        <w:rPr>
          <w:sz w:val="27"/>
          <w:szCs w:val="27"/>
        </w:rPr>
      </w:pPr>
      <w:r w:rsidRPr="00114ADF">
        <w:rPr>
          <w:sz w:val="27"/>
          <w:szCs w:val="27"/>
        </w:rPr>
        <w:t xml:space="preserve">where </w:t>
      </w:r>
      <w:r w:rsidRPr="00114ADF">
        <w:rPr>
          <w:rFonts w:ascii="Cambria Math" w:hAnsi="Cambria Math" w:cs="Cambria Math"/>
          <w:sz w:val="27"/>
          <w:szCs w:val="27"/>
        </w:rPr>
        <w:t>𝑋</w:t>
      </w:r>
      <w:r w:rsidRPr="00114ADF">
        <w:rPr>
          <w:sz w:val="27"/>
          <w:szCs w:val="27"/>
        </w:rPr>
        <w:t xml:space="preserve">, </w:t>
      </w:r>
      <w:proofErr w:type="gramStart"/>
      <w:r w:rsidRPr="00114ADF">
        <w:rPr>
          <w:rFonts w:ascii="Cambria Math" w:hAnsi="Cambria Math" w:cs="Cambria Math"/>
          <w:sz w:val="27"/>
          <w:szCs w:val="27"/>
        </w:rPr>
        <w:t>𝑌</w:t>
      </w:r>
      <w:r w:rsidRPr="00114ADF">
        <w:rPr>
          <w:sz w:val="27"/>
          <w:szCs w:val="27"/>
        </w:rPr>
        <w:t xml:space="preserve"> ,</w:t>
      </w:r>
      <w:proofErr w:type="gramEnd"/>
      <w:r w:rsidRPr="00114ADF">
        <w:rPr>
          <w:sz w:val="27"/>
          <w:szCs w:val="27"/>
        </w:rPr>
        <w:t xml:space="preserve"> and </w:t>
      </w:r>
      <w:r w:rsidRPr="00114ADF">
        <w:rPr>
          <w:rFonts w:ascii="Cambria Math" w:hAnsi="Cambria Math" w:cs="Cambria Math"/>
          <w:sz w:val="27"/>
          <w:szCs w:val="27"/>
        </w:rPr>
        <w:t>𝑍</w:t>
      </w:r>
      <w:r w:rsidRPr="00114ADF">
        <w:rPr>
          <w:sz w:val="27"/>
          <w:szCs w:val="27"/>
        </w:rPr>
        <w:t xml:space="preserve"> are the three spatial dimensions of the volume, and </w:t>
      </w:r>
      <w:r w:rsidRPr="00114ADF">
        <w:rPr>
          <w:rFonts w:ascii="Cambria Math" w:hAnsi="Cambria Math" w:cs="Cambria Math"/>
          <w:sz w:val="27"/>
          <w:szCs w:val="27"/>
        </w:rPr>
        <w:t>𝐾</w:t>
      </w:r>
      <w:r w:rsidRPr="00114ADF">
        <w:rPr>
          <w:sz w:val="27"/>
          <w:szCs w:val="27"/>
        </w:rPr>
        <w:t xml:space="preserve"> is the number of independent components.</w:t>
      </w:r>
    </w:p>
    <w:p w14:paraId="66A22FAA"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2.4. ALFF calculation</w:t>
      </w:r>
    </w:p>
    <w:p w14:paraId="770B716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ALFF was calculated at the voxel level by the AFNI program 3dRSFC for each subject. ALFF quantifies local resting-state signal fluctuations by measuring the integral of the signal amplitude in the frequency domain (over a low-frequency range of 0.01–0.1 Hz) (</w:t>
      </w:r>
      <w:bookmarkStart w:id="64" w:name="bbib9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Zang et al., 2007</w:t>
      </w:r>
      <w:r w:rsidRPr="00A8580F">
        <w:rPr>
          <w:rFonts w:ascii="Times New Roman" w:eastAsia="Times New Roman" w:hAnsi="Times New Roman" w:cs="Times New Roman"/>
          <w:color w:val="2E2E2E"/>
          <w:sz w:val="27"/>
          <w:szCs w:val="27"/>
        </w:rPr>
        <w:fldChar w:fldCharType="end"/>
      </w:r>
      <w:bookmarkEnd w:id="64"/>
      <w:r w:rsidRPr="00A8580F">
        <w:rPr>
          <w:rFonts w:ascii="Times New Roman" w:eastAsia="Times New Roman" w:hAnsi="Times New Roman" w:cs="Times New Roman"/>
          <w:color w:val="2E2E2E"/>
          <w:sz w:val="27"/>
          <w:szCs w:val="27"/>
        </w:rPr>
        <w:t>). The original approach to quantifying the ALFF was improved by calculating the ratio of the power of the low-frequency range to that of the entire frequency range resulting fractional ALFF (</w:t>
      </w:r>
      <w:proofErr w:type="spellStart"/>
      <w:r w:rsidRPr="00A8580F">
        <w:rPr>
          <w:rFonts w:ascii="Times New Roman" w:eastAsia="Times New Roman" w:hAnsi="Times New Roman" w:cs="Times New Roman"/>
          <w:color w:val="2E2E2E"/>
          <w:sz w:val="27"/>
          <w:szCs w:val="27"/>
        </w:rPr>
        <w:t>fALFF</w:t>
      </w:r>
      <w:proofErr w:type="spellEnd"/>
      <w:r w:rsidRPr="00A8580F">
        <w:rPr>
          <w:rFonts w:ascii="Times New Roman" w:eastAsia="Times New Roman" w:hAnsi="Times New Roman" w:cs="Times New Roman"/>
          <w:color w:val="2E2E2E"/>
          <w:sz w:val="27"/>
          <w:szCs w:val="27"/>
        </w:rPr>
        <w:t>) (</w:t>
      </w:r>
      <w:bookmarkStart w:id="65" w:name="bbib9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Zou et al., 2008</w:t>
      </w:r>
      <w:r w:rsidRPr="00A8580F">
        <w:rPr>
          <w:rFonts w:ascii="Times New Roman" w:eastAsia="Times New Roman" w:hAnsi="Times New Roman" w:cs="Times New Roman"/>
          <w:color w:val="2E2E2E"/>
          <w:sz w:val="27"/>
          <w:szCs w:val="27"/>
        </w:rPr>
        <w:fldChar w:fldCharType="end"/>
      </w:r>
      <w:bookmarkEnd w:id="65"/>
      <w:r w:rsidRPr="00A8580F">
        <w:rPr>
          <w:rFonts w:ascii="Times New Roman" w:eastAsia="Times New Roman" w:hAnsi="Times New Roman" w:cs="Times New Roman"/>
          <w:color w:val="2E2E2E"/>
          <w:sz w:val="27"/>
          <w:szCs w:val="27"/>
        </w:rPr>
        <w:t xml:space="preserve">), which was adopted in our analysis. The averaged </w:t>
      </w:r>
      <w:proofErr w:type="spellStart"/>
      <w:r w:rsidRPr="00A8580F">
        <w:rPr>
          <w:rFonts w:ascii="Times New Roman" w:eastAsia="Times New Roman" w:hAnsi="Times New Roman" w:cs="Times New Roman"/>
          <w:color w:val="2E2E2E"/>
          <w:sz w:val="27"/>
          <w:szCs w:val="27"/>
        </w:rPr>
        <w:t>fALFF</w:t>
      </w:r>
      <w:proofErr w:type="spellEnd"/>
      <w:r w:rsidRPr="00A8580F">
        <w:rPr>
          <w:rFonts w:ascii="Times New Roman" w:eastAsia="Times New Roman" w:hAnsi="Times New Roman" w:cs="Times New Roman"/>
          <w:color w:val="2E2E2E"/>
          <w:sz w:val="27"/>
          <w:szCs w:val="27"/>
        </w:rPr>
        <w:t xml:space="preserve"> values for each of the pre-</w:t>
      </w:r>
      <w:r w:rsidRPr="00A8580F">
        <w:rPr>
          <w:rFonts w:ascii="Times New Roman" w:eastAsia="Times New Roman" w:hAnsi="Times New Roman" w:cs="Times New Roman"/>
          <w:color w:val="2E2E2E"/>
          <w:sz w:val="27"/>
          <w:szCs w:val="27"/>
        </w:rPr>
        <w:lastRenderedPageBreak/>
        <w:t>defined 10 networks were extracted at the subject-level and separately for each condition.</w:t>
      </w:r>
    </w:p>
    <w:p w14:paraId="0D09BAA2"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2.5. </w:t>
      </w:r>
      <w:proofErr w:type="spellStart"/>
      <w:r w:rsidRPr="00A8580F">
        <w:rPr>
          <w:rFonts w:ascii="Times New Roman" w:eastAsia="Times New Roman" w:hAnsi="Times New Roman" w:cs="Times New Roman"/>
          <w:b/>
          <w:bCs/>
          <w:color w:val="505050"/>
          <w:sz w:val="27"/>
          <w:szCs w:val="27"/>
        </w:rPr>
        <w:t>ReHo</w:t>
      </w:r>
      <w:proofErr w:type="spellEnd"/>
      <w:r w:rsidRPr="00A8580F">
        <w:rPr>
          <w:rFonts w:ascii="Times New Roman" w:eastAsia="Times New Roman" w:hAnsi="Times New Roman" w:cs="Times New Roman"/>
          <w:b/>
          <w:bCs/>
          <w:color w:val="505050"/>
          <w:sz w:val="27"/>
          <w:szCs w:val="27"/>
        </w:rPr>
        <w:t xml:space="preserve"> calculation</w:t>
      </w:r>
    </w:p>
    <w:p w14:paraId="4949A06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Regional homogeneity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was calculated at the voxel level using Kendall’s coefficient of concordance (KCC) between the BOLD time series for the specified voxel and those of its 26 nearest neighbors (~2 mm radius sphere) (</w:t>
      </w:r>
      <w:bookmarkStart w:id="66" w:name="bbib9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Zang et al., 2004</w:t>
      </w:r>
      <w:r w:rsidRPr="00A8580F">
        <w:rPr>
          <w:rFonts w:ascii="Times New Roman" w:eastAsia="Times New Roman" w:hAnsi="Times New Roman" w:cs="Times New Roman"/>
          <w:color w:val="2E2E2E"/>
          <w:sz w:val="27"/>
          <w:szCs w:val="27"/>
        </w:rPr>
        <w:fldChar w:fldCharType="end"/>
      </w:r>
      <w:bookmarkEnd w:id="66"/>
      <w:r w:rsidRPr="00A8580F">
        <w:rPr>
          <w:rFonts w:ascii="Times New Roman" w:eastAsia="Times New Roman" w:hAnsi="Times New Roman" w:cs="Times New Roman"/>
          <w:color w:val="2E2E2E"/>
          <w:sz w:val="27"/>
          <w:szCs w:val="27"/>
        </w:rPr>
        <w:t xml:space="preserv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quantifies the intra-regional signal correlation.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analysis was performed by AFNI program 3dReHo. As spatial smoothing could artificially enhance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and reduce its reliability (</w:t>
      </w:r>
      <w:bookmarkStart w:id="67" w:name="bbib99"/>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Zuo</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67"/>
      <w:r w:rsidRPr="00A8580F">
        <w:rPr>
          <w:rFonts w:ascii="Times New Roman" w:eastAsia="Times New Roman" w:hAnsi="Times New Roman" w:cs="Times New Roman"/>
          <w:color w:val="2E2E2E"/>
          <w:sz w:val="27"/>
          <w:szCs w:val="27"/>
        </w:rPr>
        <w:t xml:space="preserve">), we calculated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from non-smoothed BOLD time series. Spatial smoothing was subsequently applied, with a 6 mm fullwidth at half-maximum (FWHM) Gaussian kernel, to the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maps (Fisher’s Z transformed). The averaged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values for each of the pre-defined 10 networks were extracted at the subject-level and separately for each condition.</w:t>
      </w:r>
    </w:p>
    <w:p w14:paraId="289BA188"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2.6. FC calculation</w:t>
      </w:r>
    </w:p>
    <w:p w14:paraId="7590998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Inter-regional functional connectivity (FC) was calculated based on the aforementioned node template, wherein the minimal Euclidian distance between two centers of any pair of nodes is 2 cm. This is notably distinct from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which reflects connectivity within an ~2 mm radius sphere. We computed the Pearson correlation coefficient of the time courses between each pair of nodes, yielding a pairwise 226 × 226 correlation matrix (Fisher’s Z transformed). Based on this correlation matrix, the within and between network connectivity values were calculated by averaging the node-level </w:t>
      </w:r>
      <w:hyperlink r:id="rId73" w:tooltip="Learn more about FC from ScienceDirect's AI-generated Topic Pages" w:history="1">
        <w:r w:rsidRPr="00A8580F">
          <w:rPr>
            <w:rFonts w:ascii="Times New Roman" w:eastAsia="Times New Roman" w:hAnsi="Times New Roman" w:cs="Times New Roman"/>
            <w:color w:val="2E2E2E"/>
            <w:sz w:val="27"/>
            <w:szCs w:val="27"/>
            <w:u w:val="single"/>
          </w:rPr>
          <w:t>FC</w:t>
        </w:r>
      </w:hyperlink>
      <w:r w:rsidRPr="00A8580F">
        <w:rPr>
          <w:rFonts w:ascii="Times New Roman" w:eastAsia="Times New Roman" w:hAnsi="Times New Roman" w:cs="Times New Roman"/>
          <w:color w:val="2E2E2E"/>
          <w:sz w:val="27"/>
          <w:szCs w:val="27"/>
        </w:rPr>
        <w:t> values within the on-diagonal and off-diagonal components of the correlation matrix, respectively.</w:t>
      </w:r>
    </w:p>
    <w:p w14:paraId="475E8F95"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2.7. Model training, validation, &amp; testing</w:t>
      </w:r>
    </w:p>
    <w:p w14:paraId="11B7222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Following the above procedure, 75 features were extracted from the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activity: ALFF (10),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(10), within network FC (10), between network FC (55) (</w:t>
      </w:r>
      <w:hyperlink r:id="rId74" w:anchor="fig2" w:history="1">
        <w:r w:rsidRPr="00A8580F">
          <w:rPr>
            <w:rFonts w:ascii="Times New Roman" w:eastAsia="Times New Roman" w:hAnsi="Times New Roman" w:cs="Times New Roman"/>
            <w:color w:val="0C7DBB"/>
            <w:sz w:val="27"/>
            <w:szCs w:val="27"/>
            <w:u w:val="single"/>
          </w:rPr>
          <w:t>Fig. 2</w:t>
        </w:r>
      </w:hyperlink>
      <w:bookmarkEnd w:id="63"/>
      <w:r w:rsidRPr="00A8580F">
        <w:rPr>
          <w:rFonts w:ascii="Times New Roman" w:eastAsia="Times New Roman" w:hAnsi="Times New Roman" w:cs="Times New Roman"/>
          <w:color w:val="2E2E2E"/>
          <w:sz w:val="27"/>
          <w:szCs w:val="27"/>
        </w:rPr>
        <w:t>b). All machine learning models were trained on the composite anesthesia dataset (n = 44; n = 29 from Anesthesia-SHH, n = 15 from Anesthesia-WI), and subsequently evaluated for within-dataset prediction stability (i.e., reliability on the Anesthesia dataset) as well as the capacity to generalize classifications cross-dataset to pathologically </w:t>
      </w:r>
      <w:hyperlink r:id="rId75" w:tooltip="Learn more about unconscious patients from ScienceDirect's AI-generated Topic Pages" w:history="1">
        <w:r w:rsidRPr="00A8580F">
          <w:rPr>
            <w:rFonts w:ascii="Times New Roman" w:eastAsia="Times New Roman" w:hAnsi="Times New Roman" w:cs="Times New Roman"/>
            <w:color w:val="2E2E2E"/>
            <w:sz w:val="27"/>
            <w:szCs w:val="27"/>
            <w:u w:val="single"/>
          </w:rPr>
          <w:t>unconscious patients</w:t>
        </w:r>
      </w:hyperlink>
      <w:r w:rsidRPr="00A8580F">
        <w:rPr>
          <w:rFonts w:ascii="Times New Roman" w:eastAsia="Times New Roman" w:hAnsi="Times New Roman" w:cs="Times New Roman"/>
          <w:color w:val="2E2E2E"/>
          <w:sz w:val="27"/>
          <w:szCs w:val="27"/>
        </w:rPr>
        <w:t> with a DOC.</w:t>
      </w:r>
    </w:p>
    <w:p w14:paraId="39A699B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the former, we employed a nested cross-validation strategy. First, 100 sub-samples (outer-fold) of the anesthesia dataset were generated through random sampling with replacement. Next, each outer-fold was separated into two independent datasets, an optimization dataset (80% of outer-fold) and validation dataset (20% of outer-fold). The optimization dataset was then further split using k-fold cross-</w:t>
      </w:r>
      <w:r w:rsidRPr="00A8580F">
        <w:rPr>
          <w:rFonts w:ascii="Times New Roman" w:eastAsia="Times New Roman" w:hAnsi="Times New Roman" w:cs="Times New Roman"/>
          <w:color w:val="2E2E2E"/>
          <w:sz w:val="27"/>
          <w:szCs w:val="27"/>
        </w:rPr>
        <w:lastRenderedPageBreak/>
        <w:t>validation, yielding five sub-samples (inner-folds). Each inner-fold consisted of a training dataset (80% of inner-fold) and a testing dataset (20% of inner-fold). The inner-folds were used to evaluate and optimize model hyperparameters, whereas the outer-folds were used to estimate model performance on a novel dataset. When hyperparameter optimization is used in the absence of nested cross-validation, models are more likely to overfit to the training data and overestimate performance on unseen data (</w:t>
      </w:r>
      <w:bookmarkStart w:id="68" w:name="bbib1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Cawley and Talbot, 2010</w:t>
      </w:r>
      <w:r w:rsidRPr="00A8580F">
        <w:rPr>
          <w:rFonts w:ascii="Times New Roman" w:eastAsia="Times New Roman" w:hAnsi="Times New Roman" w:cs="Times New Roman"/>
          <w:color w:val="2E2E2E"/>
          <w:sz w:val="27"/>
          <w:szCs w:val="27"/>
        </w:rPr>
        <w:fldChar w:fldCharType="end"/>
      </w:r>
      <w:bookmarkEnd w:id="68"/>
      <w:r w:rsidRPr="00A8580F">
        <w:rPr>
          <w:rFonts w:ascii="Times New Roman" w:eastAsia="Times New Roman" w:hAnsi="Times New Roman" w:cs="Times New Roman"/>
          <w:color w:val="2E2E2E"/>
          <w:sz w:val="27"/>
          <w:szCs w:val="27"/>
        </w:rPr>
        <w:t>).</w:t>
      </w:r>
    </w:p>
    <w:p w14:paraId="476325D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quantify the external validity of the models, we used a Bootstrap sampling procedure (</w:t>
      </w:r>
      <w:bookmarkStart w:id="69" w:name="bbib3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Efron</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Tibshirani</w:t>
      </w:r>
      <w:proofErr w:type="spellEnd"/>
      <w:r w:rsidRPr="00A8580F">
        <w:rPr>
          <w:rFonts w:ascii="Times New Roman" w:eastAsia="Times New Roman" w:hAnsi="Times New Roman" w:cs="Times New Roman"/>
          <w:color w:val="0C7DBB"/>
          <w:sz w:val="27"/>
          <w:szCs w:val="27"/>
          <w:u w:val="single"/>
        </w:rPr>
        <w:t>, 2007</w:t>
      </w:r>
      <w:r w:rsidRPr="00A8580F">
        <w:rPr>
          <w:rFonts w:ascii="Times New Roman" w:eastAsia="Times New Roman" w:hAnsi="Times New Roman" w:cs="Times New Roman"/>
          <w:color w:val="2E2E2E"/>
          <w:sz w:val="27"/>
          <w:szCs w:val="27"/>
        </w:rPr>
        <w:fldChar w:fldCharType="end"/>
      </w:r>
      <w:bookmarkEnd w:id="69"/>
      <w:r w:rsidRPr="00A8580F">
        <w:rPr>
          <w:rFonts w:ascii="Times New Roman" w:eastAsia="Times New Roman" w:hAnsi="Times New Roman" w:cs="Times New Roman"/>
          <w:color w:val="2E2E2E"/>
          <w:sz w:val="27"/>
          <w:szCs w:val="27"/>
        </w:rPr>
        <w:t>) to estimate the cross-dataset (Anesthesia to DOC) model performance; 100 sub-samples of the DOC data were generated by randomly sampling from the original data with replacement.</w:t>
      </w:r>
    </w:p>
    <w:p w14:paraId="41AFA3B0"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Across both methods, the class distributions were fixed such that there were equal numbers of both classes in the sub-samples used in model validation and testing. To provide an accurate estimate of reliability and generalizability, model performance was calculated as the mean across the 100 sub-samples. All model training and hyperparameter tuning was performed without exposing the models to the DOC data to ensure that the we did not inadvertently introduce information that would subsequently influence our analyses of generalization performance.</w:t>
      </w:r>
    </w:p>
    <w:p w14:paraId="0A277713"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2.8. Model selection</w:t>
      </w:r>
    </w:p>
    <w:p w14:paraId="270FC91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Three distinct candidate model types were evaluated within the study: </w:t>
      </w:r>
      <w:hyperlink r:id="rId76" w:tooltip="Learn more about support vector machine from ScienceDirect's AI-generated Topic Pages" w:history="1">
        <w:r w:rsidRPr="00A8580F">
          <w:rPr>
            <w:rFonts w:ascii="Times New Roman" w:eastAsia="Times New Roman" w:hAnsi="Times New Roman" w:cs="Times New Roman"/>
            <w:color w:val="2E2E2E"/>
            <w:sz w:val="27"/>
            <w:szCs w:val="27"/>
            <w:u w:val="single"/>
          </w:rPr>
          <w:t>support vector machine</w:t>
        </w:r>
      </w:hyperlink>
      <w:r w:rsidRPr="00A8580F">
        <w:rPr>
          <w:rFonts w:ascii="Times New Roman" w:eastAsia="Times New Roman" w:hAnsi="Times New Roman" w:cs="Times New Roman"/>
          <w:color w:val="2E2E2E"/>
          <w:sz w:val="27"/>
          <w:szCs w:val="27"/>
        </w:rPr>
        <w:t> (SVM), decision tree, and </w:t>
      </w:r>
      <w:hyperlink r:id="rId77" w:tooltip="Learn more about artificial neural network from ScienceDirect's AI-generated Topic Pages" w:history="1">
        <w:r w:rsidRPr="00A8580F">
          <w:rPr>
            <w:rFonts w:ascii="Times New Roman" w:eastAsia="Times New Roman" w:hAnsi="Times New Roman" w:cs="Times New Roman"/>
            <w:color w:val="2E2E2E"/>
            <w:sz w:val="27"/>
            <w:szCs w:val="27"/>
            <w:u w:val="single"/>
          </w:rPr>
          <w:t>artificial neural network</w:t>
        </w:r>
      </w:hyperlink>
      <w:r w:rsidRPr="00A8580F">
        <w:rPr>
          <w:rFonts w:ascii="Times New Roman" w:eastAsia="Times New Roman" w:hAnsi="Times New Roman" w:cs="Times New Roman"/>
          <w:color w:val="2E2E2E"/>
          <w:sz w:val="27"/>
          <w:szCs w:val="27"/>
        </w:rPr>
        <w:t> (ANN). For a review of these commonly used supervised machine learning methods, and others, see (</w:t>
      </w:r>
      <w:bookmarkStart w:id="70" w:name="bbib1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Caruana and Niculescu-Mizil, 2006</w:t>
      </w:r>
      <w:r w:rsidRPr="00A8580F">
        <w:rPr>
          <w:rFonts w:ascii="Times New Roman" w:eastAsia="Times New Roman" w:hAnsi="Times New Roman" w:cs="Times New Roman"/>
          <w:color w:val="2E2E2E"/>
          <w:sz w:val="27"/>
          <w:szCs w:val="27"/>
        </w:rPr>
        <w:fldChar w:fldCharType="end"/>
      </w:r>
      <w:bookmarkEnd w:id="70"/>
      <w:r w:rsidRPr="00A8580F">
        <w:rPr>
          <w:rFonts w:ascii="Times New Roman" w:eastAsia="Times New Roman" w:hAnsi="Times New Roman" w:cs="Times New Roman"/>
          <w:color w:val="2E2E2E"/>
          <w:sz w:val="27"/>
          <w:szCs w:val="27"/>
        </w:rPr>
        <w:t>). Both the SVM and decision tree-based models were constructed using </w:t>
      </w:r>
      <w:proofErr w:type="spellStart"/>
      <w:r w:rsidRPr="00A8580F">
        <w:rPr>
          <w:rFonts w:ascii="Times New Roman" w:eastAsia="Times New Roman" w:hAnsi="Times New Roman" w:cs="Times New Roman"/>
          <w:i/>
          <w:iCs/>
          <w:color w:val="2E2E2E"/>
          <w:sz w:val="27"/>
          <w:szCs w:val="27"/>
        </w:rPr>
        <w:t>scikit</w:t>
      </w:r>
      <w:proofErr w:type="spellEnd"/>
      <w:r w:rsidRPr="00A8580F">
        <w:rPr>
          <w:rFonts w:ascii="Times New Roman" w:eastAsia="Times New Roman" w:hAnsi="Times New Roman" w:cs="Times New Roman"/>
          <w:i/>
          <w:iCs/>
          <w:color w:val="2E2E2E"/>
          <w:sz w:val="27"/>
          <w:szCs w:val="27"/>
        </w:rPr>
        <w:t>-learn</w:t>
      </w:r>
      <w:r w:rsidRPr="00A8580F">
        <w:rPr>
          <w:rFonts w:ascii="Times New Roman" w:eastAsia="Times New Roman" w:hAnsi="Times New Roman" w:cs="Times New Roman"/>
          <w:color w:val="2E2E2E"/>
          <w:sz w:val="27"/>
          <w:szCs w:val="27"/>
        </w:rPr>
        <w:t> (</w:t>
      </w:r>
      <w:bookmarkStart w:id="71" w:name="bbib7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Pedregosa et al., 2011</w:t>
      </w:r>
      <w:r w:rsidRPr="00A8580F">
        <w:rPr>
          <w:rFonts w:ascii="Times New Roman" w:eastAsia="Times New Roman" w:hAnsi="Times New Roman" w:cs="Times New Roman"/>
          <w:color w:val="2E2E2E"/>
          <w:sz w:val="27"/>
          <w:szCs w:val="27"/>
        </w:rPr>
        <w:fldChar w:fldCharType="end"/>
      </w:r>
      <w:bookmarkEnd w:id="71"/>
      <w:r w:rsidRPr="00A8580F">
        <w:rPr>
          <w:rFonts w:ascii="Times New Roman" w:eastAsia="Times New Roman" w:hAnsi="Times New Roman" w:cs="Times New Roman"/>
          <w:color w:val="2E2E2E"/>
          <w:sz w:val="27"/>
          <w:szCs w:val="27"/>
        </w:rPr>
        <w:t>), a Python-based machine learning library popular within the neuroimaging community (</w:t>
      </w:r>
      <w:bookmarkStart w:id="72" w:name="bbib1"/>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Abraham et al., 2014</w:t>
      </w:r>
      <w:r w:rsidRPr="00A8580F">
        <w:rPr>
          <w:rFonts w:ascii="Times New Roman" w:eastAsia="Times New Roman" w:hAnsi="Times New Roman" w:cs="Times New Roman"/>
          <w:color w:val="2E2E2E"/>
          <w:sz w:val="27"/>
          <w:szCs w:val="27"/>
        </w:rPr>
        <w:fldChar w:fldCharType="end"/>
      </w:r>
      <w:bookmarkEnd w:id="72"/>
      <w:r w:rsidRPr="00A8580F">
        <w:rPr>
          <w:rFonts w:ascii="Times New Roman" w:eastAsia="Times New Roman" w:hAnsi="Times New Roman" w:cs="Times New Roman"/>
          <w:color w:val="2E2E2E"/>
          <w:sz w:val="27"/>
          <w:szCs w:val="27"/>
        </w:rPr>
        <w:t>). The ANN was built using the open source deep learning library </w:t>
      </w:r>
      <w:proofErr w:type="spellStart"/>
      <w:r w:rsidRPr="00A8580F">
        <w:rPr>
          <w:rFonts w:ascii="Times New Roman" w:eastAsia="Times New Roman" w:hAnsi="Times New Roman" w:cs="Times New Roman"/>
          <w:i/>
          <w:iCs/>
          <w:color w:val="2E2E2E"/>
          <w:sz w:val="27"/>
          <w:szCs w:val="27"/>
        </w:rPr>
        <w:t>Keras</w:t>
      </w:r>
      <w:proofErr w:type="spellEnd"/>
      <w:r w:rsidRPr="00A8580F">
        <w:rPr>
          <w:rFonts w:ascii="Times New Roman" w:eastAsia="Times New Roman" w:hAnsi="Times New Roman" w:cs="Times New Roman"/>
          <w:color w:val="2E2E2E"/>
          <w:sz w:val="27"/>
          <w:szCs w:val="27"/>
        </w:rPr>
        <w:t> (</w:t>
      </w:r>
      <w:hyperlink r:id="rId78" w:tgtFrame="_blank" w:history="1">
        <w:r w:rsidRPr="00A8580F">
          <w:rPr>
            <w:rFonts w:ascii="Times New Roman" w:eastAsia="Times New Roman" w:hAnsi="Times New Roman" w:cs="Times New Roman"/>
            <w:color w:val="0C7DBB"/>
            <w:sz w:val="27"/>
            <w:szCs w:val="27"/>
            <w:u w:val="single"/>
          </w:rPr>
          <w:t>https://keras.io</w:t>
        </w:r>
      </w:hyperlink>
      <w:r w:rsidRPr="00A8580F">
        <w:rPr>
          <w:rFonts w:ascii="Times New Roman" w:eastAsia="Times New Roman" w:hAnsi="Times New Roman" w:cs="Times New Roman"/>
          <w:color w:val="2E2E2E"/>
          <w:sz w:val="27"/>
          <w:szCs w:val="27"/>
        </w:rPr>
        <w:t>) running on top of the </w:t>
      </w:r>
      <w:r w:rsidRPr="00A8580F">
        <w:rPr>
          <w:rFonts w:ascii="Times New Roman" w:eastAsia="Times New Roman" w:hAnsi="Times New Roman" w:cs="Times New Roman"/>
          <w:i/>
          <w:iCs/>
          <w:color w:val="2E2E2E"/>
          <w:sz w:val="27"/>
          <w:szCs w:val="27"/>
        </w:rPr>
        <w:t>TensorFlow</w:t>
      </w:r>
      <w:r w:rsidRPr="00A8580F">
        <w:rPr>
          <w:rFonts w:ascii="Times New Roman" w:eastAsia="Times New Roman" w:hAnsi="Times New Roman" w:cs="Times New Roman"/>
          <w:color w:val="2E2E2E"/>
          <w:sz w:val="27"/>
          <w:szCs w:val="27"/>
        </w:rPr>
        <w:t> platform (</w:t>
      </w:r>
      <w:bookmarkStart w:id="73" w:name="bbib3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Dignam et al., 2016</w:t>
      </w:r>
      <w:r w:rsidRPr="00A8580F">
        <w:rPr>
          <w:rFonts w:ascii="Times New Roman" w:eastAsia="Times New Roman" w:hAnsi="Times New Roman" w:cs="Times New Roman"/>
          <w:color w:val="2E2E2E"/>
          <w:sz w:val="27"/>
          <w:szCs w:val="27"/>
        </w:rPr>
        <w:fldChar w:fldCharType="end"/>
      </w:r>
      <w:bookmarkEnd w:id="73"/>
      <w:r w:rsidRPr="00A8580F">
        <w:rPr>
          <w:rFonts w:ascii="Times New Roman" w:eastAsia="Times New Roman" w:hAnsi="Times New Roman" w:cs="Times New Roman"/>
          <w:color w:val="2E2E2E"/>
          <w:sz w:val="27"/>
          <w:szCs w:val="27"/>
        </w:rPr>
        <w:t>).</w:t>
      </w:r>
    </w:p>
    <w:p w14:paraId="23A2C2F0"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2.9. Support vector machine</w:t>
      </w:r>
    </w:p>
    <w:p w14:paraId="361D3885"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Support vector machine (SVM) is a type of discriminative model which generates a hyperplane (i.e., decision boundary) to maximize the physical separation between two classes in N-dimensional space, where N represents the number of features (</w:t>
      </w:r>
      <w:bookmarkStart w:id="74" w:name="bfig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3</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 The hyperplane is defined by support vectors, the samples which lay at the boundary between classes. This technique has been widely implemented in previous neuroimaging analyses (</w:t>
      </w:r>
      <w:bookmarkStart w:id="75" w:name="bbib2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Chennu</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Sitt</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1A0E1D29" w14:textId="2882AC3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56DBA476" wp14:editId="37573B17">
            <wp:extent cx="5943600" cy="1416685"/>
            <wp:effectExtent l="0" t="0" r="0" b="0"/>
            <wp:docPr id="8" name="Picture 8"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3E9E9445"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3. Schematic representation of the three types of supervised machine learning models used in the study.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The </w:t>
      </w:r>
      <w:hyperlink r:id="rId80" w:tooltip="Learn more about Support vector machine from ScienceDirect's AI-generated Topic Pages" w:history="1">
        <w:r w:rsidRPr="00A8580F">
          <w:rPr>
            <w:rFonts w:ascii="Times New Roman" w:eastAsia="Times New Roman" w:hAnsi="Times New Roman" w:cs="Times New Roman"/>
            <w:color w:val="2E2E2E"/>
            <w:sz w:val="24"/>
            <w:szCs w:val="24"/>
            <w:u w:val="single"/>
          </w:rPr>
          <w:t>Support vector machine</w:t>
        </w:r>
      </w:hyperlink>
      <w:r w:rsidRPr="00A8580F">
        <w:rPr>
          <w:rFonts w:ascii="Times New Roman" w:eastAsia="Times New Roman" w:hAnsi="Times New Roman" w:cs="Times New Roman"/>
          <w:color w:val="2E2E2E"/>
          <w:sz w:val="24"/>
          <w:szCs w:val="24"/>
        </w:rPr>
        <w:t> (SVM) is a discriminative model that generates a hyperplane (i.e., decision boundary) which maximizes the separation between two classes in N-dimensional space (N = number of features). The hyperplane is defined by support vectors, the samples which lay at the boundary between classes.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Decision tree-based models apply a flowchart-like approach to classification wherein the input data is repeatedly split into smaller sub-groups according to some decision process until a terminal node (i.e., label) is reached. Shown is a subtype of the decision-trees class, the Random Forest, which generates many different trees from a random sample of the data, and uses bootstrap aggregation (i.e., bagging) to average the predictions across all trees. </w:t>
      </w:r>
      <w:r w:rsidRPr="00A8580F">
        <w:rPr>
          <w:rFonts w:ascii="Times New Roman" w:eastAsia="Times New Roman" w:hAnsi="Times New Roman" w:cs="Times New Roman"/>
          <w:b/>
          <w:bCs/>
          <w:color w:val="2E2E2E"/>
          <w:sz w:val="24"/>
          <w:szCs w:val="24"/>
        </w:rPr>
        <w:t>(c)</w:t>
      </w:r>
      <w:r w:rsidRPr="00A8580F">
        <w:rPr>
          <w:rFonts w:ascii="Times New Roman" w:eastAsia="Times New Roman" w:hAnsi="Times New Roman" w:cs="Times New Roman"/>
          <w:color w:val="2E2E2E"/>
          <w:sz w:val="24"/>
          <w:szCs w:val="24"/>
        </w:rPr>
        <w:t> </w:t>
      </w:r>
      <w:hyperlink r:id="rId81" w:tooltip="Learn more about Artificial Neural Networks from ScienceDirect's AI-generated Topic Pages" w:history="1">
        <w:r w:rsidRPr="00A8580F">
          <w:rPr>
            <w:rFonts w:ascii="Times New Roman" w:eastAsia="Times New Roman" w:hAnsi="Times New Roman" w:cs="Times New Roman"/>
            <w:color w:val="2E2E2E"/>
            <w:sz w:val="24"/>
            <w:szCs w:val="24"/>
            <w:u w:val="single"/>
          </w:rPr>
          <w:t>Artificial Neural Networks</w:t>
        </w:r>
      </w:hyperlink>
      <w:r w:rsidRPr="00A8580F">
        <w:rPr>
          <w:rFonts w:ascii="Times New Roman" w:eastAsia="Times New Roman" w:hAnsi="Times New Roman" w:cs="Times New Roman"/>
          <w:color w:val="2E2E2E"/>
          <w:sz w:val="24"/>
          <w:szCs w:val="24"/>
        </w:rPr>
        <w:t> (ANNs) represent a broad category of machine learning models which loosely imitate the physical structure of the brain. The networks are composed of individual nodes (neurons), arranged in a hierarchical structure; shown is one possible network structure, with a single input layer, two densely-connected hidden layers, an output layer with one node for each class, and only feed-forward connections throughout.</w:t>
      </w:r>
    </w:p>
    <w:p w14:paraId="64AB0098"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2.10. Decision trees</w:t>
      </w:r>
    </w:p>
    <w:p w14:paraId="0F42A5C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Decision trees constitute a broad class of non-parametric models that visually resembles a nested tree structure. The splits (branches) of a decision tree represent points where simple decision rules are applied to parse the data until a classification is made. Decision trees seek to make high quality splits by applying metrics like Gini impurity or entropy to maximize information gain.</w:t>
      </w:r>
    </w:p>
    <w:p w14:paraId="0ADEA5F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One particular subtype of the decision trees class, the Random Forest (</w:t>
      </w:r>
      <w:hyperlink r:id="rId82" w:anchor="fig3" w:history="1">
        <w:r w:rsidRPr="00A8580F">
          <w:rPr>
            <w:rFonts w:ascii="Times New Roman" w:eastAsia="Times New Roman" w:hAnsi="Times New Roman" w:cs="Times New Roman"/>
            <w:color w:val="0C7DBB"/>
            <w:sz w:val="27"/>
            <w:szCs w:val="27"/>
            <w:u w:val="single"/>
          </w:rPr>
          <w:t>Fig. 3</w:t>
        </w:r>
      </w:hyperlink>
      <w:r w:rsidRPr="00A8580F">
        <w:rPr>
          <w:rFonts w:ascii="Times New Roman" w:eastAsia="Times New Roman" w:hAnsi="Times New Roman" w:cs="Times New Roman"/>
          <w:color w:val="2E2E2E"/>
          <w:sz w:val="27"/>
          <w:szCs w:val="27"/>
        </w:rPr>
        <w:t>b), is especially popular and has shown notable success in multivariate neuroimaging applications (</w:t>
      </w:r>
      <w:bookmarkStart w:id="76" w:name="bbib8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Sarica</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bookmarkEnd w:id="76"/>
      <w:r w:rsidRPr="00A8580F">
        <w:rPr>
          <w:rFonts w:ascii="Times New Roman" w:eastAsia="Times New Roman" w:hAnsi="Times New Roman" w:cs="Times New Roman"/>
          <w:color w:val="2E2E2E"/>
          <w:sz w:val="27"/>
          <w:szCs w:val="27"/>
        </w:rPr>
        <w:t>). The Random Forest differs from a regular decision tree in that a multitude of trees are constructed from randomly drawn bootstrap samples of the original data. Aggregating predictions across the ensemble of structurally heterogeneous trees (i.e., bagging) helps to minimize model variance and mitigate risks of overfitting—a problem of external validity encountered often in machine learning, wherein a model is fit too tightly to the training data, and consequently, generalizes poorly when exposed to new, unseen data. The current study applied the </w:t>
      </w:r>
      <w:r w:rsidRPr="00A8580F">
        <w:rPr>
          <w:rFonts w:ascii="Times New Roman" w:eastAsia="Times New Roman" w:hAnsi="Times New Roman" w:cs="Times New Roman"/>
          <w:i/>
          <w:iCs/>
          <w:color w:val="2E2E2E"/>
          <w:sz w:val="27"/>
          <w:szCs w:val="27"/>
        </w:rPr>
        <w:t>Extra Trees</w:t>
      </w:r>
      <w:r w:rsidRPr="00A8580F">
        <w:rPr>
          <w:rFonts w:ascii="Times New Roman" w:eastAsia="Times New Roman" w:hAnsi="Times New Roman" w:cs="Times New Roman"/>
          <w:color w:val="2E2E2E"/>
          <w:sz w:val="27"/>
          <w:szCs w:val="27"/>
        </w:rPr>
        <w:t> (ET) variant of the Random Forest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w:t>
      </w:r>
      <w:r w:rsidRPr="00A8580F">
        <w:rPr>
          <w:rFonts w:ascii="Times New Roman" w:eastAsia="Times New Roman" w:hAnsi="Times New Roman" w:cs="Times New Roman"/>
          <w:color w:val="0C7DBB"/>
          <w:sz w:val="27"/>
          <w:szCs w:val="27"/>
          <w:u w:val="single"/>
        </w:rPr>
        <w:lastRenderedPageBreak/>
        <w:t>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77" w:name="bbib38"/>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Geurts</w:t>
      </w:r>
      <w:proofErr w:type="spellEnd"/>
      <w:r w:rsidRPr="00A8580F">
        <w:rPr>
          <w:rFonts w:ascii="Times New Roman" w:eastAsia="Times New Roman" w:hAnsi="Times New Roman" w:cs="Times New Roman"/>
          <w:color w:val="0C7DBB"/>
          <w:sz w:val="27"/>
          <w:szCs w:val="27"/>
          <w:u w:val="single"/>
        </w:rPr>
        <w:t xml:space="preserve"> et al., 2006</w:t>
      </w:r>
      <w:r w:rsidRPr="00A8580F">
        <w:rPr>
          <w:rFonts w:ascii="Times New Roman" w:eastAsia="Times New Roman" w:hAnsi="Times New Roman" w:cs="Times New Roman"/>
          <w:color w:val="2E2E2E"/>
          <w:sz w:val="27"/>
          <w:szCs w:val="27"/>
        </w:rPr>
        <w:fldChar w:fldCharType="end"/>
      </w:r>
      <w:bookmarkEnd w:id="77"/>
      <w:r w:rsidRPr="00A8580F">
        <w:rPr>
          <w:rFonts w:ascii="Times New Roman" w:eastAsia="Times New Roman" w:hAnsi="Times New Roman" w:cs="Times New Roman"/>
          <w:color w:val="2E2E2E"/>
          <w:sz w:val="27"/>
          <w:szCs w:val="27"/>
        </w:rPr>
        <w:t>) which introduces additional randomness into the method for deciding split-points.</w:t>
      </w:r>
    </w:p>
    <w:p w14:paraId="1A9223C4"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2.11. Artificial neural network</w:t>
      </w:r>
    </w:p>
    <w:p w14:paraId="7372D5A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Artificial Neural Networks (ANN) are a class of algorithms which loosely model the neuronal structure of the brain (</w:t>
      </w:r>
      <w:hyperlink r:id="rId83" w:anchor="fig3" w:history="1">
        <w:r w:rsidRPr="00A8580F">
          <w:rPr>
            <w:rFonts w:ascii="Times New Roman" w:eastAsia="Times New Roman" w:hAnsi="Times New Roman" w:cs="Times New Roman"/>
            <w:color w:val="0C7DBB"/>
            <w:sz w:val="27"/>
            <w:szCs w:val="27"/>
            <w:u w:val="single"/>
          </w:rPr>
          <w:t>Fig. 3</w:t>
        </w:r>
      </w:hyperlink>
      <w:bookmarkEnd w:id="74"/>
      <w:r w:rsidRPr="00A8580F">
        <w:rPr>
          <w:rFonts w:ascii="Times New Roman" w:eastAsia="Times New Roman" w:hAnsi="Times New Roman" w:cs="Times New Roman"/>
          <w:color w:val="2E2E2E"/>
          <w:sz w:val="27"/>
          <w:szCs w:val="27"/>
        </w:rPr>
        <w:t>c). They are composed of an interconnected network of individual nodes (neurons) capable of adjusting the strength of their connections via a set of tunable weights and biases. The output of the neurons is defined by the application of an activation function (e.g., step function, </w:t>
      </w:r>
      <w:hyperlink r:id="rId84" w:tooltip="Learn more about sigmoid from ScienceDirect's AI-generated Topic Pages" w:history="1">
        <w:r w:rsidRPr="00A8580F">
          <w:rPr>
            <w:rFonts w:ascii="Times New Roman" w:eastAsia="Times New Roman" w:hAnsi="Times New Roman" w:cs="Times New Roman"/>
            <w:color w:val="2E2E2E"/>
            <w:sz w:val="27"/>
            <w:szCs w:val="27"/>
            <w:u w:val="single"/>
          </w:rPr>
          <w:t>sigmoid</w:t>
        </w:r>
      </w:hyperlink>
      <w:r w:rsidRPr="00A8580F">
        <w:rPr>
          <w:rFonts w:ascii="Times New Roman" w:eastAsia="Times New Roman" w:hAnsi="Times New Roman" w:cs="Times New Roman"/>
          <w:color w:val="2E2E2E"/>
          <w:sz w:val="27"/>
          <w:szCs w:val="27"/>
        </w:rPr>
        <w:t> function). ANN’s are capable of “learning” by a process of repetition, wherein a backpropagation algorithm is repeatedly applied to automatically adjust the connection weights relative to the difference between the current prediction and expected output (</w:t>
      </w:r>
      <w:bookmarkStart w:id="78" w:name="bbib4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Hecht-Nielsen, 1989</w:t>
      </w:r>
      <w:r w:rsidRPr="00A8580F">
        <w:rPr>
          <w:rFonts w:ascii="Times New Roman" w:eastAsia="Times New Roman" w:hAnsi="Times New Roman" w:cs="Times New Roman"/>
          <w:color w:val="2E2E2E"/>
          <w:sz w:val="27"/>
          <w:szCs w:val="27"/>
        </w:rPr>
        <w:fldChar w:fldCharType="end"/>
      </w:r>
      <w:bookmarkEnd w:id="78"/>
      <w:r w:rsidRPr="00A8580F">
        <w:rPr>
          <w:rFonts w:ascii="Times New Roman" w:eastAsia="Times New Roman" w:hAnsi="Times New Roman" w:cs="Times New Roman"/>
          <w:color w:val="2E2E2E"/>
          <w:sz w:val="27"/>
          <w:szCs w:val="27"/>
        </w:rPr>
        <w:t>).</w:t>
      </w:r>
    </w:p>
    <w:p w14:paraId="177BD53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opted to construct a simple ANN with a densely-connected feedforward network structure (</w:t>
      </w:r>
      <w:proofErr w:type="spellStart"/>
      <w:r w:rsidRPr="00A8580F">
        <w:rPr>
          <w:rFonts w:ascii="Times New Roman" w:eastAsia="Times New Roman" w:hAnsi="Times New Roman" w:cs="Times New Roman"/>
          <w:color w:val="2E2E2E"/>
          <w:sz w:val="27"/>
          <w:szCs w:val="27"/>
        </w:rPr>
        <w:t>a.k.a</w:t>
      </w:r>
      <w:proofErr w:type="spellEnd"/>
      <w:r w:rsidRPr="00A8580F">
        <w:rPr>
          <w:rFonts w:ascii="Times New Roman" w:eastAsia="Times New Roman" w:hAnsi="Times New Roman" w:cs="Times New Roman"/>
          <w:color w:val="2E2E2E"/>
          <w:sz w:val="27"/>
          <w:szCs w:val="27"/>
        </w:rPr>
        <w:t xml:space="preserve"> multilayer perceptron), composed of: an input layer, two hidden layers, and single node (sigmoid) output layer. To address the risk of overfitting, we applied dropout to both hidden layers (20% and 50%, respectively) during training. To speed up the training process, we used the widely-popular rectified linear units (</w:t>
      </w:r>
      <w:proofErr w:type="spellStart"/>
      <w:r w:rsidRPr="00A8580F">
        <w:rPr>
          <w:rFonts w:ascii="Times New Roman" w:eastAsia="Times New Roman" w:hAnsi="Times New Roman" w:cs="Times New Roman"/>
          <w:color w:val="2E2E2E"/>
          <w:sz w:val="27"/>
          <w:szCs w:val="27"/>
        </w:rPr>
        <w:t>ReLU</w:t>
      </w:r>
      <w:proofErr w:type="spellEnd"/>
      <w:r w:rsidRPr="00A8580F">
        <w:rPr>
          <w:rFonts w:ascii="Times New Roman" w:eastAsia="Times New Roman" w:hAnsi="Times New Roman" w:cs="Times New Roman"/>
          <w:color w:val="2E2E2E"/>
          <w:sz w:val="27"/>
          <w:szCs w:val="27"/>
        </w:rPr>
        <w:t>) activation function for nodes within the hidden layers (</w:t>
      </w:r>
      <w:bookmarkStart w:id="79" w:name="bbib57"/>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Lecun</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79"/>
      <w:r w:rsidRPr="00A8580F">
        <w:rPr>
          <w:rFonts w:ascii="Times New Roman" w:eastAsia="Times New Roman" w:hAnsi="Times New Roman" w:cs="Times New Roman"/>
          <w:color w:val="2E2E2E"/>
          <w:sz w:val="27"/>
          <w:szCs w:val="27"/>
        </w:rPr>
        <w:t>). Adaptive moment estimation (Adam) was chosen as the model optimizer (</w:t>
      </w:r>
      <w:bookmarkStart w:id="80" w:name="bbib53"/>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Kingma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80"/>
      <w:r w:rsidRPr="00A8580F">
        <w:rPr>
          <w:rFonts w:ascii="Times New Roman" w:eastAsia="Times New Roman" w:hAnsi="Times New Roman" w:cs="Times New Roman"/>
          <w:color w:val="2E2E2E"/>
          <w:sz w:val="27"/>
          <w:szCs w:val="27"/>
        </w:rPr>
        <w:t>) with binary cross-entropy serving as the loss metric.</w:t>
      </w:r>
    </w:p>
    <w:p w14:paraId="04AE8B27"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2.12. Hyperparameter optimization</w:t>
      </w:r>
    </w:p>
    <w:p w14:paraId="371CFC2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Prior to training a machine learning model, a set of “hyperparameters” must be chosen. These hyperparameters represent settings that constrain the model’s behavior during training (e.g., the number of decision trees in a Random Forest model). The combination of hyperparameters chosen can cause wide variations in model performance and must be tailored to the task demands as there are no universally optimal set of hyperparameters across all applications (</w:t>
      </w:r>
      <w:bookmarkStart w:id="81" w:name="bbib9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Thornton et al., 2012</w:t>
      </w:r>
      <w:r w:rsidRPr="00A8580F">
        <w:rPr>
          <w:rFonts w:ascii="Times New Roman" w:eastAsia="Times New Roman" w:hAnsi="Times New Roman" w:cs="Times New Roman"/>
          <w:color w:val="2E2E2E"/>
          <w:sz w:val="27"/>
          <w:szCs w:val="27"/>
        </w:rPr>
        <w:fldChar w:fldCharType="end"/>
      </w:r>
      <w:bookmarkEnd w:id="81"/>
      <w:r w:rsidRPr="00A8580F">
        <w:rPr>
          <w:rFonts w:ascii="Times New Roman" w:eastAsia="Times New Roman" w:hAnsi="Times New Roman" w:cs="Times New Roman"/>
          <w:color w:val="2E2E2E"/>
          <w:sz w:val="27"/>
          <w:szCs w:val="27"/>
        </w:rPr>
        <w:t>).</w:t>
      </w:r>
    </w:p>
    <w:p w14:paraId="6E03669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In practice, appropriate model hyperparameters are most often chosen by either the grid search method (systematically evaluating a range of possible combinations) or the random search method (repeatedly evaluating random combinations). The computational demands of performing a grid search rise exponentially as the number of model hyperparameters increases, therefore, the random search method has been preferred for most applications (</w:t>
      </w:r>
      <w:bookmarkStart w:id="82" w:name="bbib1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Bergstra</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Bengio</w:t>
      </w:r>
      <w:proofErr w:type="spellEnd"/>
      <w:r w:rsidRPr="00A8580F">
        <w:rPr>
          <w:rFonts w:ascii="Times New Roman" w:eastAsia="Times New Roman" w:hAnsi="Times New Roman" w:cs="Times New Roman"/>
          <w:color w:val="0C7DBB"/>
          <w:sz w:val="27"/>
          <w:szCs w:val="27"/>
          <w:u w:val="single"/>
        </w:rPr>
        <w:t>, 2012</w:t>
      </w:r>
      <w:r w:rsidRPr="00A8580F">
        <w:rPr>
          <w:rFonts w:ascii="Times New Roman" w:eastAsia="Times New Roman" w:hAnsi="Times New Roman" w:cs="Times New Roman"/>
          <w:color w:val="2E2E2E"/>
          <w:sz w:val="27"/>
          <w:szCs w:val="27"/>
        </w:rPr>
        <w:fldChar w:fldCharType="end"/>
      </w:r>
      <w:bookmarkEnd w:id="82"/>
      <w:r w:rsidRPr="00A8580F">
        <w:rPr>
          <w:rFonts w:ascii="Times New Roman" w:eastAsia="Times New Roman" w:hAnsi="Times New Roman" w:cs="Times New Roman"/>
          <w:color w:val="2E2E2E"/>
          <w:sz w:val="27"/>
          <w:szCs w:val="27"/>
        </w:rPr>
        <w:t>).</w:t>
      </w:r>
    </w:p>
    <w:p w14:paraId="1382E48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However, given the methodology underlying grid search and random search, neither approach guarantees that the optimal combination of hyperparameters will be identified. Consequently, there has been increased interest in the development of automated hyperparameter optimization algorithms to aid in the tuning process; see (</w:t>
      </w:r>
      <w:bookmarkStart w:id="83" w:name="bbib6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Luo, 2016</w:t>
      </w:r>
      <w:r w:rsidRPr="00A8580F">
        <w:rPr>
          <w:rFonts w:ascii="Times New Roman" w:eastAsia="Times New Roman" w:hAnsi="Times New Roman" w:cs="Times New Roman"/>
          <w:color w:val="2E2E2E"/>
          <w:sz w:val="27"/>
          <w:szCs w:val="27"/>
        </w:rPr>
        <w:fldChar w:fldCharType="end"/>
      </w:r>
      <w:bookmarkEnd w:id="83"/>
      <w:r w:rsidRPr="00A8580F">
        <w:rPr>
          <w:rFonts w:ascii="Times New Roman" w:eastAsia="Times New Roman" w:hAnsi="Times New Roman" w:cs="Times New Roman"/>
          <w:color w:val="2E2E2E"/>
          <w:sz w:val="27"/>
          <w:szCs w:val="27"/>
        </w:rPr>
        <w:t>) for a review.</w:t>
      </w:r>
    </w:p>
    <w:p w14:paraId="1F85E1B1"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We chose to use the Python library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w:t>
      </w:r>
      <w:bookmarkStart w:id="84" w:name="bbib1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Bergstra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85" w:name="bbib54"/>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Komer</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for automated hyperparameter optimization given its ease of integration with the </w:t>
      </w:r>
      <w:proofErr w:type="spellStart"/>
      <w:r w:rsidRPr="00A8580F">
        <w:rPr>
          <w:rFonts w:ascii="Times New Roman" w:eastAsia="Times New Roman" w:hAnsi="Times New Roman" w:cs="Times New Roman"/>
          <w:i/>
          <w:iCs/>
          <w:color w:val="2E2E2E"/>
          <w:sz w:val="27"/>
          <w:szCs w:val="27"/>
        </w:rPr>
        <w:t>scikit</w:t>
      </w:r>
      <w:proofErr w:type="spellEnd"/>
      <w:r w:rsidRPr="00A8580F">
        <w:rPr>
          <w:rFonts w:ascii="Times New Roman" w:eastAsia="Times New Roman" w:hAnsi="Times New Roman" w:cs="Times New Roman"/>
          <w:i/>
          <w:iCs/>
          <w:color w:val="2E2E2E"/>
          <w:sz w:val="27"/>
          <w:szCs w:val="27"/>
        </w:rPr>
        <w:t>-learn</w:t>
      </w:r>
      <w:r w:rsidRPr="00A8580F">
        <w:rPr>
          <w:rFonts w:ascii="Times New Roman" w:eastAsia="Times New Roman" w:hAnsi="Times New Roman" w:cs="Times New Roman"/>
          <w:color w:val="2E2E2E"/>
          <w:sz w:val="27"/>
          <w:szCs w:val="27"/>
        </w:rPr>
        <w:t> library. The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xml:space="preserve"> library applies an optimization algorithm (i.e., Tree-Structured </w:t>
      </w:r>
      <w:proofErr w:type="spellStart"/>
      <w:r w:rsidRPr="00A8580F">
        <w:rPr>
          <w:rFonts w:ascii="Times New Roman" w:eastAsia="Times New Roman" w:hAnsi="Times New Roman" w:cs="Times New Roman"/>
          <w:color w:val="2E2E2E"/>
          <w:sz w:val="27"/>
          <w:szCs w:val="27"/>
        </w:rPr>
        <w:t>Parzen</w:t>
      </w:r>
      <w:proofErr w:type="spellEnd"/>
      <w:r w:rsidRPr="00A8580F">
        <w:rPr>
          <w:rFonts w:ascii="Times New Roman" w:eastAsia="Times New Roman" w:hAnsi="Times New Roman" w:cs="Times New Roman"/>
          <w:color w:val="2E2E2E"/>
          <w:sz w:val="27"/>
          <w:szCs w:val="27"/>
        </w:rPr>
        <w:t xml:space="preserve"> Estimator) to navigate a pre-defined space of hyperparameters by iteratively evaluating different combinations and subsequently modeling the likelihood probability of achieving high performance with other combinations. To improve the computational efficiency, we defined a constrained search space composed of the following tunable hyperparameters: SVM (gamma, C), ET (max tree depth, max number of features considered at each split, number of trees, decision criterion). Given the large number of tunable hyperparameters for the ANN, and high computational demands of repeated training, hyperparameter optimization was not performed on the ANN.</w:t>
      </w:r>
    </w:p>
    <w:p w14:paraId="6E30043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default hyperparameters for the </w:t>
      </w:r>
      <w:proofErr w:type="spellStart"/>
      <w:r w:rsidRPr="00A8580F">
        <w:rPr>
          <w:rFonts w:ascii="Times New Roman" w:eastAsia="Times New Roman" w:hAnsi="Times New Roman" w:cs="Times New Roman"/>
          <w:i/>
          <w:iCs/>
          <w:color w:val="2E2E2E"/>
          <w:sz w:val="27"/>
          <w:szCs w:val="27"/>
        </w:rPr>
        <w:t>scikit</w:t>
      </w:r>
      <w:proofErr w:type="spellEnd"/>
      <w:r w:rsidRPr="00A8580F">
        <w:rPr>
          <w:rFonts w:ascii="Times New Roman" w:eastAsia="Times New Roman" w:hAnsi="Times New Roman" w:cs="Times New Roman"/>
          <w:i/>
          <w:iCs/>
          <w:color w:val="2E2E2E"/>
          <w:sz w:val="27"/>
          <w:szCs w:val="27"/>
        </w:rPr>
        <w:t>-learn</w:t>
      </w:r>
      <w:r w:rsidRPr="00A8580F">
        <w:rPr>
          <w:rFonts w:ascii="Times New Roman" w:eastAsia="Times New Roman" w:hAnsi="Times New Roman" w:cs="Times New Roman"/>
          <w:color w:val="2E2E2E"/>
          <w:sz w:val="27"/>
          <w:szCs w:val="27"/>
        </w:rPr>
        <w:t> SVM and ET were used to compare model performance before and after hyperparameter optimization. As there is no default network structure for the </w:t>
      </w:r>
      <w:proofErr w:type="spellStart"/>
      <w:r w:rsidRPr="00A8580F">
        <w:rPr>
          <w:rFonts w:ascii="Times New Roman" w:eastAsia="Times New Roman" w:hAnsi="Times New Roman" w:cs="Times New Roman"/>
          <w:i/>
          <w:iCs/>
          <w:color w:val="2E2E2E"/>
          <w:sz w:val="27"/>
          <w:szCs w:val="27"/>
        </w:rPr>
        <w:t>Keras</w:t>
      </w:r>
      <w:proofErr w:type="spellEnd"/>
      <w:r w:rsidRPr="00A8580F">
        <w:rPr>
          <w:rFonts w:ascii="Times New Roman" w:eastAsia="Times New Roman" w:hAnsi="Times New Roman" w:cs="Times New Roman"/>
          <w:color w:val="2E2E2E"/>
          <w:sz w:val="27"/>
          <w:szCs w:val="27"/>
        </w:rPr>
        <w:t> ANN, we chose an appropriate number of nodes for each layer through the application of the algorithmic approach recommended for two-hidden-layer feedforward networks defined in (</w:t>
      </w:r>
      <w:bookmarkStart w:id="86" w:name="bbib4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Huang, 2003</w:t>
      </w:r>
      <w:r w:rsidRPr="00A8580F">
        <w:rPr>
          <w:rFonts w:ascii="Times New Roman" w:eastAsia="Times New Roman" w:hAnsi="Times New Roman" w:cs="Times New Roman"/>
          <w:color w:val="2E2E2E"/>
          <w:sz w:val="27"/>
          <w:szCs w:val="27"/>
        </w:rPr>
        <w:fldChar w:fldCharType="end"/>
      </w:r>
      <w:bookmarkEnd w:id="86"/>
      <w:r w:rsidRPr="00A8580F">
        <w:rPr>
          <w:rFonts w:ascii="Times New Roman" w:eastAsia="Times New Roman" w:hAnsi="Times New Roman" w:cs="Times New Roman"/>
          <w:color w:val="2E2E2E"/>
          <w:sz w:val="27"/>
          <w:szCs w:val="27"/>
        </w:rPr>
        <w:t>). Accordingly, the default ANN was constructed with 25 neurons in layer one, and 5 neurons in layer two.</w:t>
      </w:r>
    </w:p>
    <w:p w14:paraId="431D8AD1"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2.13. Feature pruning</w:t>
      </w:r>
    </w:p>
    <w:p w14:paraId="5F63449F"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Using the pipeline described above, we extracted 75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features. Though we expect some of these features will be far more informative than others, much remains to be discovered about the specific biomarkers of consciousness. For this reason, we evaluated models trained on both the full set of 75 features, and models trained on a smaller subset of features isolated through feature pruning. To test the latter, we included only the features with significant differences between the awake and unresponsive states (deep sedation and general anesthesia) in the Anesthesia-SHH and Anesthesia-WI dataset. This method yielded a smaller subset of 32 features: ALFF (3), within network FC (8), between network FC (21).</w:t>
      </w:r>
    </w:p>
    <w:p w14:paraId="7E4C79A6"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2.14. Model stress tests</w:t>
      </w:r>
    </w:p>
    <w:p w14:paraId="56E3D91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further distinguish the models used in our analysis, we performed additional computational stress tests to evaluate whether the model classifications were robust to perturbation. To this end, we applied (1) a random drop-out of increasing fractions of the model features, and (2) a gradually reduced the signal to noise (SNR) ratio by adding increasing amounts of noise to the features. Both stress tests were conducted by making modifications solely to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dataset used for testing.</w:t>
      </w:r>
    </w:p>
    <w:p w14:paraId="7E0CA7C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To investigate how the models responded to a diffuse, nonspecific reduction in test dataset information, we randomly dropped increasing fractions of model features from </w:t>
      </w:r>
      <w:r w:rsidRPr="00A8580F">
        <w:rPr>
          <w:rFonts w:ascii="Times New Roman" w:eastAsia="Times New Roman" w:hAnsi="Times New Roman" w:cs="Times New Roman"/>
          <w:color w:val="2E2E2E"/>
          <w:sz w:val="27"/>
          <w:szCs w:val="27"/>
        </w:rPr>
        <w:lastRenderedPageBreak/>
        <w:t>the test dataset (from 0% to 100%). Features were “dropped” from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dataset by setting the value for that feature, across all subjects, to zero; zeroing was necessary, rather than pure removal, to ensure that the number of features in the training dataset and testing dataset were equivalent, as required by the models.</w:t>
      </w:r>
    </w:p>
    <w:p w14:paraId="468CE491"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decrease the signal to noise ratio (SNR), we systematically introduced noise into the test dataset. For each feature, a Gaussian distribution of values was generated according to the calculated mean and variance across all subjects. The noise was added at the subject-level by randomly sampling a value on a Gaussian distribution around each feature, multiplying that sampled value by some scaling factor (ranging from 1x-100x), and finally adding the noise back to the original subject-level feature. The noised feature was then rescaled to match the original pre-noised mean and variance of the feature.</w:t>
      </w:r>
    </w:p>
    <w:p w14:paraId="26296AEA"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provide a stable estimate of the effects, we employed the same, previously described bootstrap sampling procedure (B = 100) in evaluating the model performance before and after each stress test.</w:t>
      </w:r>
    </w:p>
    <w:p w14:paraId="1DF75D7D"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2.15. Intermediate states</w:t>
      </w:r>
    </w:p>
    <w:p w14:paraId="35CA4D04"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evaluate the feasibility of discriminating intermediate states of consciousness, we applied the same preprocessing and feature-extraction procedure on data collected from three novel groups not included in the primary analyses: subjects during light propofol sedation (Light, n = 15), subjects during recovery from propofol sedation (Rec, n = 15), and clinical patients in a minimally conscious state (MCS, n = 8).</w:t>
      </w:r>
    </w:p>
    <w:p w14:paraId="2CF96CAB"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subjects in each of the groups not included in model training, a predicted class probability was generated, serving as a measure of the model’s confidence in the classification relative to a binary decision threshold, set at 0.5. A predicted class probability at either extremum represents a strong resemblance to one of the two groups within the anesthesia dataset used for training; predicted class probabilities greater than 0.5 (more likely awake than unresponsive) were classified as awake, whereas values less than 0.5 (more likely unresponsive than awake) were classified as unresponsive.</w:t>
      </w:r>
    </w:p>
    <w:p w14:paraId="77CAAA45"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2.16. Statistical analyses</w:t>
      </w:r>
    </w:p>
    <w:p w14:paraId="34F30437"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 two-sample </w:t>
      </w:r>
      <w:r w:rsidRPr="00A8580F">
        <w:rPr>
          <w:rFonts w:ascii="Times New Roman" w:eastAsia="Times New Roman" w:hAnsi="Times New Roman" w:cs="Times New Roman"/>
          <w:i/>
          <w:iCs/>
          <w:color w:val="2E2E2E"/>
          <w:sz w:val="27"/>
          <w:szCs w:val="27"/>
        </w:rPr>
        <w:t>t</w:t>
      </w:r>
      <w:r w:rsidRPr="00A8580F">
        <w:rPr>
          <w:rFonts w:ascii="Times New Roman" w:eastAsia="Times New Roman" w:hAnsi="Times New Roman" w:cs="Times New Roman"/>
          <w:color w:val="2E2E2E"/>
          <w:sz w:val="27"/>
          <w:szCs w:val="27"/>
        </w:rPr>
        <w:t>-test was applied to analyze differences between the distribution of values across each feature for subjects during wakefulness and unresponsiveness, whereas paired t-tests were used to analyze differences in model performance before and after hyperparameter optimization as well as model performance before and after perturbation. Our analysis of each model’s predicted classification probabilities was conducted first via a one sample </w:t>
      </w:r>
      <w:r w:rsidRPr="00A8580F">
        <w:rPr>
          <w:rFonts w:ascii="Times New Roman" w:eastAsia="Times New Roman" w:hAnsi="Times New Roman" w:cs="Times New Roman"/>
          <w:i/>
          <w:iCs/>
          <w:color w:val="2E2E2E"/>
          <w:sz w:val="27"/>
          <w:szCs w:val="27"/>
        </w:rPr>
        <w:t>t</w:t>
      </w:r>
      <w:r w:rsidRPr="00A8580F">
        <w:rPr>
          <w:rFonts w:ascii="Times New Roman" w:eastAsia="Times New Roman" w:hAnsi="Times New Roman" w:cs="Times New Roman"/>
          <w:color w:val="2E2E2E"/>
          <w:sz w:val="27"/>
          <w:szCs w:val="27"/>
        </w:rPr>
        <w:t xml:space="preserve">-test comparing the group distributions to the binary </w:t>
      </w:r>
      <w:r w:rsidRPr="00A8580F">
        <w:rPr>
          <w:rFonts w:ascii="Times New Roman" w:eastAsia="Times New Roman" w:hAnsi="Times New Roman" w:cs="Times New Roman"/>
          <w:color w:val="2E2E2E"/>
          <w:sz w:val="27"/>
          <w:szCs w:val="27"/>
        </w:rPr>
        <w:lastRenderedPageBreak/>
        <w:t xml:space="preserve">decision threshold, set at 0.5, followed by a </w:t>
      </w:r>
      <w:proofErr w:type="gramStart"/>
      <w:r w:rsidRPr="00A8580F">
        <w:rPr>
          <w:rFonts w:ascii="Times New Roman" w:eastAsia="Times New Roman" w:hAnsi="Times New Roman" w:cs="Times New Roman"/>
          <w:color w:val="2E2E2E"/>
          <w:sz w:val="27"/>
          <w:szCs w:val="27"/>
        </w:rPr>
        <w:t>two sample</w:t>
      </w:r>
      <w:proofErr w:type="gramEnd"/>
      <w:r w:rsidRPr="00A8580F">
        <w:rPr>
          <w:rFonts w:ascii="Times New Roman" w:eastAsia="Times New Roman" w:hAnsi="Times New Roman" w:cs="Times New Roman"/>
          <w:color w:val="2E2E2E"/>
          <w:sz w:val="27"/>
          <w:szCs w:val="27"/>
        </w:rPr>
        <w:t> </w:t>
      </w:r>
      <w:r w:rsidRPr="00A8580F">
        <w:rPr>
          <w:rFonts w:ascii="Times New Roman" w:eastAsia="Times New Roman" w:hAnsi="Times New Roman" w:cs="Times New Roman"/>
          <w:i/>
          <w:iCs/>
          <w:color w:val="2E2E2E"/>
          <w:sz w:val="27"/>
          <w:szCs w:val="27"/>
        </w:rPr>
        <w:t>t</w:t>
      </w:r>
      <w:r w:rsidRPr="00A8580F">
        <w:rPr>
          <w:rFonts w:ascii="Times New Roman" w:eastAsia="Times New Roman" w:hAnsi="Times New Roman" w:cs="Times New Roman"/>
          <w:color w:val="2E2E2E"/>
          <w:sz w:val="27"/>
          <w:szCs w:val="27"/>
        </w:rPr>
        <w:t>-test comparing the intermediate states to the two states used in training (i.e., awake, unresponsive).</w:t>
      </w:r>
    </w:p>
    <w:p w14:paraId="69F5823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Before performing the </w:t>
      </w:r>
      <w:hyperlink r:id="rId85" w:tooltip="Learn more about multivariate analysis from ScienceDirect's AI-generated Topic Pages" w:history="1">
        <w:r w:rsidRPr="00A8580F">
          <w:rPr>
            <w:rFonts w:ascii="Times New Roman" w:eastAsia="Times New Roman" w:hAnsi="Times New Roman" w:cs="Times New Roman"/>
            <w:color w:val="2E2E2E"/>
            <w:sz w:val="27"/>
            <w:szCs w:val="27"/>
            <w:u w:val="single"/>
          </w:rPr>
          <w:t>multivariate analysis</w:t>
        </w:r>
      </w:hyperlink>
      <w:r w:rsidRPr="00A8580F">
        <w:rPr>
          <w:rFonts w:ascii="Times New Roman" w:eastAsia="Times New Roman" w:hAnsi="Times New Roman" w:cs="Times New Roman"/>
          <w:color w:val="2E2E2E"/>
          <w:sz w:val="27"/>
          <w:szCs w:val="27"/>
        </w:rPr>
        <w:t>, we sought to determine whether reliable classifications could be made at the single-feature level within-dataset (Anesthesia cross-validation) and cross-dataset (Anesthesia to DOC). This </w:t>
      </w:r>
      <w:hyperlink r:id="rId86" w:tooltip="Learn more about univariate analysis from ScienceDirect's AI-generated Topic Pages" w:history="1">
        <w:r w:rsidRPr="00A8580F">
          <w:rPr>
            <w:rFonts w:ascii="Times New Roman" w:eastAsia="Times New Roman" w:hAnsi="Times New Roman" w:cs="Times New Roman"/>
            <w:color w:val="2E2E2E"/>
            <w:sz w:val="27"/>
            <w:szCs w:val="27"/>
            <w:u w:val="single"/>
          </w:rPr>
          <w:t>univariate analysis</w:t>
        </w:r>
      </w:hyperlink>
      <w:r w:rsidRPr="00A8580F">
        <w:rPr>
          <w:rFonts w:ascii="Times New Roman" w:eastAsia="Times New Roman" w:hAnsi="Times New Roman" w:cs="Times New Roman"/>
          <w:color w:val="2E2E2E"/>
          <w:sz w:val="27"/>
          <w:szCs w:val="27"/>
        </w:rPr>
        <w:t> was conducted in order to explore whether using a more complex multivariate model-based approach was necessary and to further our knowledge of particular biomarkers highly related to the level of consciousness.</w:t>
      </w:r>
    </w:p>
    <w:p w14:paraId="0A91D985"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quantify classification performance, receiver operating characteristic (ROC) curves were generated by first analyzing the accuracy of the predictions obtained from the different classifiers, and subsequently plotting their associated true positive rate against the false positive rate. Using the ROC curves, the area under the curve (AUC) was calculated, which served as the metric used throughout in measuring classification performance (AUC scores range from 0 to 1, where 0 is totally inaccurate, 1 is fully accurate, and 0.5 represented chance-level performance).</w:t>
      </w:r>
    </w:p>
    <w:p w14:paraId="18526CC1"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the analyses of univariate performance and pre-post hyperparameter optimization, a Bonferroni-correction at alpha &lt;0.05 was applied to control for the increased risk of false positives when making multiple statistical comparisons. Given that our analysis of intermediate states had a much smaller sample size, no correction was applied.</w:t>
      </w:r>
    </w:p>
    <w:p w14:paraId="2D22ECC0"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2.17. Data and code availability statement</w:t>
      </w:r>
    </w:p>
    <w:p w14:paraId="2FE143E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resting-state fMRI feature data and code for the above machine-learning pipeline are accessible at </w:t>
      </w:r>
      <w:hyperlink r:id="rId87" w:tgtFrame="_blank" w:history="1">
        <w:r w:rsidRPr="00A8580F">
          <w:rPr>
            <w:rFonts w:ascii="Times New Roman" w:eastAsia="Times New Roman" w:hAnsi="Times New Roman" w:cs="Times New Roman"/>
            <w:color w:val="0C7DBB"/>
            <w:sz w:val="27"/>
            <w:szCs w:val="27"/>
            <w:u w:val="single"/>
          </w:rPr>
          <w:t>https://github.com/Justin-Campbell/ML-Anes-DOC</w:t>
        </w:r>
      </w:hyperlink>
      <w:r w:rsidRPr="00A8580F">
        <w:rPr>
          <w:rFonts w:ascii="Times New Roman" w:eastAsia="Times New Roman" w:hAnsi="Times New Roman" w:cs="Times New Roman"/>
          <w:color w:val="2E2E2E"/>
          <w:sz w:val="27"/>
          <w:szCs w:val="27"/>
        </w:rPr>
        <w:t>.</w:t>
      </w:r>
    </w:p>
    <w:p w14:paraId="6FF72A64"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36"/>
          <w:szCs w:val="36"/>
        </w:rPr>
        <w:t>3. Results</w:t>
      </w:r>
    </w:p>
    <w:p w14:paraId="78223BFB"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3.1. Univariate performance</w:t>
      </w:r>
    </w:p>
    <w:p w14:paraId="5463FD8D"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As expected, we observed several features with significant differences between the awake (n = 44) and deep sedation/anesthesia groups (n = 44) (</w:t>
      </w:r>
      <w:bookmarkStart w:id="87" w:name="bfig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4</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and between healthy controls (n = 28) and UWS/VS patients (n=13) (</w:t>
      </w:r>
      <w:bookmarkStart w:id="88" w:name="bfig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1B02DD52" w14:textId="21FF4A43"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43411836" wp14:editId="4C66E22A">
            <wp:extent cx="5943600" cy="2051685"/>
            <wp:effectExtent l="0" t="0" r="0" b="5715"/>
            <wp:docPr id="7" name="Picture 7"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2051685"/>
                    </a:xfrm>
                    <a:prstGeom prst="rect">
                      <a:avLst/>
                    </a:prstGeom>
                    <a:noFill/>
                    <a:ln>
                      <a:noFill/>
                    </a:ln>
                  </pic:spPr>
                </pic:pic>
              </a:graphicData>
            </a:graphic>
          </wp:inline>
        </w:drawing>
      </w:r>
    </w:p>
    <w:p w14:paraId="2FC3FDAA"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4. Single feature comparisons between awake and </w:t>
      </w:r>
      <w:hyperlink r:id="rId89" w:tooltip="Learn more about deep sedation from ScienceDirect's AI-generated Topic Pages" w:history="1">
        <w:r w:rsidRPr="00A8580F">
          <w:rPr>
            <w:rFonts w:ascii="Times New Roman" w:eastAsia="Times New Roman" w:hAnsi="Times New Roman" w:cs="Times New Roman"/>
            <w:color w:val="2E2E2E"/>
            <w:sz w:val="24"/>
            <w:szCs w:val="24"/>
            <w:u w:val="single"/>
          </w:rPr>
          <w:t>deep sedation</w:t>
        </w:r>
      </w:hyperlink>
      <w:r w:rsidRPr="00A8580F">
        <w:rPr>
          <w:rFonts w:ascii="Times New Roman" w:eastAsia="Times New Roman" w:hAnsi="Times New Roman" w:cs="Times New Roman"/>
          <w:color w:val="2E2E2E"/>
          <w:sz w:val="24"/>
          <w:szCs w:val="24"/>
        </w:rPr>
        <w:t> groups across anesthesia datasets.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xml:space="preserve"> Distribution of values for ALFF (upper-left), </w:t>
      </w:r>
      <w:proofErr w:type="spellStart"/>
      <w:r w:rsidRPr="00A8580F">
        <w:rPr>
          <w:rFonts w:ascii="Times New Roman" w:eastAsia="Times New Roman" w:hAnsi="Times New Roman" w:cs="Times New Roman"/>
          <w:color w:val="2E2E2E"/>
          <w:sz w:val="24"/>
          <w:szCs w:val="24"/>
        </w:rPr>
        <w:t>ReHo</w:t>
      </w:r>
      <w:proofErr w:type="spellEnd"/>
      <w:r w:rsidRPr="00A8580F">
        <w:rPr>
          <w:rFonts w:ascii="Times New Roman" w:eastAsia="Times New Roman" w:hAnsi="Times New Roman" w:cs="Times New Roman"/>
          <w:color w:val="2E2E2E"/>
          <w:sz w:val="24"/>
          <w:szCs w:val="24"/>
        </w:rPr>
        <w:t xml:space="preserve"> (upper-middle), within network </w:t>
      </w:r>
      <w:hyperlink r:id="rId90" w:tooltip="Learn more about FC from ScienceDirect's AI-generated Topic Pages" w:history="1">
        <w:r w:rsidRPr="00A8580F">
          <w:rPr>
            <w:rFonts w:ascii="Times New Roman" w:eastAsia="Times New Roman" w:hAnsi="Times New Roman" w:cs="Times New Roman"/>
            <w:color w:val="2E2E2E"/>
            <w:sz w:val="24"/>
            <w:szCs w:val="24"/>
            <w:u w:val="single"/>
          </w:rPr>
          <w:t>FC</w:t>
        </w:r>
      </w:hyperlink>
      <w:r w:rsidRPr="00A8580F">
        <w:rPr>
          <w:rFonts w:ascii="Times New Roman" w:eastAsia="Times New Roman" w:hAnsi="Times New Roman" w:cs="Times New Roman"/>
          <w:color w:val="2E2E2E"/>
          <w:sz w:val="24"/>
          <w:szCs w:val="24"/>
        </w:rPr>
        <w:t> (upper-right), and between network FC (bottom). * indicates Bonferroni-corrected p ​&lt; ​0.05. The ability of single features to discriminate between the two groups was evaluated using a univariate model-free analysis. The within-dataset (Anesthesia → Anesthesia; blue) and cross-dataset (Anesthesia → </w:t>
      </w:r>
      <w:hyperlink r:id="rId91"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pink) AUC is listed above the features with significant group differences.</w:t>
      </w:r>
    </w:p>
    <w:p w14:paraId="0CE7388E" w14:textId="1356E9DC"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334AA530" wp14:editId="7D67D4AD">
            <wp:extent cx="5943600" cy="1986915"/>
            <wp:effectExtent l="0" t="0" r="0" b="0"/>
            <wp:docPr id="6" name="Picture 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2A0B07A4"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5. Single feature comparisons between healthy controls and UWS/VS groups within </w:t>
      </w:r>
      <w:hyperlink r:id="rId93"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dataset.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xml:space="preserve"> Distribution of values for ALFF (upper-left), </w:t>
      </w:r>
      <w:proofErr w:type="spellStart"/>
      <w:r w:rsidRPr="00A8580F">
        <w:rPr>
          <w:rFonts w:ascii="Times New Roman" w:eastAsia="Times New Roman" w:hAnsi="Times New Roman" w:cs="Times New Roman"/>
          <w:color w:val="2E2E2E"/>
          <w:sz w:val="24"/>
          <w:szCs w:val="24"/>
        </w:rPr>
        <w:t>ReHo</w:t>
      </w:r>
      <w:proofErr w:type="spellEnd"/>
      <w:r w:rsidRPr="00A8580F">
        <w:rPr>
          <w:rFonts w:ascii="Times New Roman" w:eastAsia="Times New Roman" w:hAnsi="Times New Roman" w:cs="Times New Roman"/>
          <w:color w:val="2E2E2E"/>
          <w:sz w:val="24"/>
          <w:szCs w:val="24"/>
        </w:rPr>
        <w:t xml:space="preserve"> (upper-middle), within network </w:t>
      </w:r>
      <w:hyperlink r:id="rId94" w:tooltip="Learn more about FC from ScienceDirect's AI-generated Topic Pages" w:history="1">
        <w:r w:rsidRPr="00A8580F">
          <w:rPr>
            <w:rFonts w:ascii="Times New Roman" w:eastAsia="Times New Roman" w:hAnsi="Times New Roman" w:cs="Times New Roman"/>
            <w:color w:val="2E2E2E"/>
            <w:sz w:val="24"/>
            <w:szCs w:val="24"/>
            <w:u w:val="single"/>
          </w:rPr>
          <w:t>FC</w:t>
        </w:r>
      </w:hyperlink>
      <w:r w:rsidRPr="00A8580F">
        <w:rPr>
          <w:rFonts w:ascii="Times New Roman" w:eastAsia="Times New Roman" w:hAnsi="Times New Roman" w:cs="Times New Roman"/>
          <w:color w:val="2E2E2E"/>
          <w:sz w:val="24"/>
          <w:szCs w:val="24"/>
        </w:rPr>
        <w:t> (upper-right), and between network FC (bottom). * indicates Bonferroni-corrected p ​&lt; ​0.05.</w:t>
      </w:r>
    </w:p>
    <w:p w14:paraId="0430E8B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 subsequent analysis of the area under the ROC curves (AUC) generated from the features with group differences revealed a wide-range of univariate model-free classification performances within-dataset (AUC: 0.65–0.81) and cross-dataset (AUC: 0.52–0.87). In rare cases where a feature had an AUC of &lt;0.50, indicating an anti-correlation with state of consciousness, the associated AUC was rectified (|AUC-0.50| ​+ ​0.50) using a previously described procedure to improve interpretability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w:t>
      </w:r>
    </w:p>
    <w:p w14:paraId="635B4DB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Although the above chance-level performance of univariate classifiers indicates that some features may be strongly related to different states of consciousness, the </w:t>
      </w:r>
      <w:r w:rsidRPr="00A8580F">
        <w:rPr>
          <w:rFonts w:ascii="Times New Roman" w:eastAsia="Times New Roman" w:hAnsi="Times New Roman" w:cs="Times New Roman"/>
          <w:color w:val="2E2E2E"/>
          <w:sz w:val="27"/>
          <w:szCs w:val="27"/>
        </w:rPr>
        <w:lastRenderedPageBreak/>
        <w:t>performance was not always consistent within- and cross-dataset (e.g., the dorsal attention and somatosensory networks’ , DA-SS, connectivity feature had an AUC of 0.79 and 0.56, respectively). This suggests that inconsistent features may instead be closely associated with some unique aspect of anesthetic-induced </w:t>
      </w:r>
      <w:hyperlink r:id="rId95" w:tooltip="Learn more about unconsciousness from ScienceDirect's AI-generated Topic Pages" w:history="1">
        <w:r w:rsidRPr="00A8580F">
          <w:rPr>
            <w:rFonts w:ascii="Times New Roman" w:eastAsia="Times New Roman" w:hAnsi="Times New Roman" w:cs="Times New Roman"/>
            <w:color w:val="2E2E2E"/>
            <w:sz w:val="27"/>
            <w:szCs w:val="27"/>
            <w:u w:val="single"/>
          </w:rPr>
          <w:t>unconsciousness</w:t>
        </w:r>
      </w:hyperlink>
      <w:r w:rsidRPr="00A8580F">
        <w:rPr>
          <w:rFonts w:ascii="Times New Roman" w:eastAsia="Times New Roman" w:hAnsi="Times New Roman" w:cs="Times New Roman"/>
          <w:color w:val="2E2E2E"/>
          <w:sz w:val="27"/>
          <w:szCs w:val="27"/>
        </w:rPr>
        <w:t>, but does not necessarily entail information generalizable between the two.</w:t>
      </w:r>
    </w:p>
    <w:p w14:paraId="40C0BAD9"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To approximate the overall performance within the four types of features (i.e., ALFF,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within network </w:t>
      </w:r>
      <w:hyperlink r:id="rId96" w:tooltip="Learn more about FC from ScienceDirect's AI-generated Topic Pages" w:history="1">
        <w:r w:rsidRPr="00A8580F">
          <w:rPr>
            <w:rFonts w:ascii="Times New Roman" w:eastAsia="Times New Roman" w:hAnsi="Times New Roman" w:cs="Times New Roman"/>
            <w:color w:val="2E2E2E"/>
            <w:sz w:val="27"/>
            <w:szCs w:val="27"/>
            <w:u w:val="single"/>
          </w:rPr>
          <w:t>FC</w:t>
        </w:r>
      </w:hyperlink>
      <w:r w:rsidRPr="00A8580F">
        <w:rPr>
          <w:rFonts w:ascii="Times New Roman" w:eastAsia="Times New Roman" w:hAnsi="Times New Roman" w:cs="Times New Roman"/>
          <w:color w:val="2E2E2E"/>
          <w:sz w:val="27"/>
          <w:szCs w:val="27"/>
        </w:rPr>
        <w:t>, between network FC), we quantified a representative ROC curve within each feature type as the mean across all its associated univariate ROC curves (</w:t>
      </w:r>
      <w:bookmarkStart w:id="89" w:name="bfig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6</w:t>
      </w:r>
      <w:r w:rsidRPr="00A8580F">
        <w:rPr>
          <w:rFonts w:ascii="Times New Roman" w:eastAsia="Times New Roman" w:hAnsi="Times New Roman" w:cs="Times New Roman"/>
          <w:color w:val="2E2E2E"/>
          <w:sz w:val="27"/>
          <w:szCs w:val="27"/>
        </w:rPr>
        <w:fldChar w:fldCharType="end"/>
      </w:r>
      <w:bookmarkEnd w:id="89"/>
      <w:r w:rsidRPr="00A8580F">
        <w:rPr>
          <w:rFonts w:ascii="Times New Roman" w:eastAsia="Times New Roman" w:hAnsi="Times New Roman" w:cs="Times New Roman"/>
          <w:color w:val="2E2E2E"/>
          <w:sz w:val="27"/>
          <w:szCs w:val="27"/>
        </w:rPr>
        <w:t xml:space="preserve">). An analysis of the AUC from the representative ROC curves within-dataset revealed that the strongest overall performance came from between network FC features (M = 0.67, SD = 0.08), followed by within network FC (M = 0.66, SD 0.03), ALFF (M = 0.63, SD = 0.05), and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(M = 0.59, SD = 0.04). In contrast, ALFF-based features showed the strongest overall performance cross-dataset (M = 0.73, SD = 0.08), followed by within network FC (M = 0.68, SD = 0.06), between network FC (M = 0.64, SD = 0.09), and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(M = 0.58, SD = 0.03). Across both datasets, the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-derived features performed the weakest, suggesting an overlap between groups as can be seen by examination of the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 xml:space="preserve"> value distributions (</w:t>
      </w:r>
      <w:hyperlink r:id="rId97" w:anchor="fig4" w:history="1">
        <w:r w:rsidRPr="00A8580F">
          <w:rPr>
            <w:rFonts w:ascii="Times New Roman" w:eastAsia="Times New Roman" w:hAnsi="Times New Roman" w:cs="Times New Roman"/>
            <w:color w:val="0C7DBB"/>
            <w:sz w:val="27"/>
            <w:szCs w:val="27"/>
            <w:u w:val="single"/>
          </w:rPr>
          <w:t>Fig. 4</w:t>
        </w:r>
      </w:hyperlink>
      <w:r w:rsidRPr="00A8580F">
        <w:rPr>
          <w:rFonts w:ascii="Times New Roman" w:eastAsia="Times New Roman" w:hAnsi="Times New Roman" w:cs="Times New Roman"/>
          <w:color w:val="2E2E2E"/>
          <w:sz w:val="27"/>
          <w:szCs w:val="27"/>
        </w:rPr>
        <w:t>a middle; </w:t>
      </w:r>
      <w:hyperlink r:id="rId98" w:anchor="fig5" w:history="1">
        <w:r w:rsidRPr="00A8580F">
          <w:rPr>
            <w:rFonts w:ascii="Times New Roman" w:eastAsia="Times New Roman" w:hAnsi="Times New Roman" w:cs="Times New Roman"/>
            <w:color w:val="0C7DBB"/>
            <w:sz w:val="27"/>
            <w:szCs w:val="27"/>
            <w:u w:val="single"/>
          </w:rPr>
          <w:t>Fig. 5</w:t>
        </w:r>
      </w:hyperlink>
      <w:bookmarkEnd w:id="88"/>
      <w:r w:rsidRPr="00A8580F">
        <w:rPr>
          <w:rFonts w:ascii="Times New Roman" w:eastAsia="Times New Roman" w:hAnsi="Times New Roman" w:cs="Times New Roman"/>
          <w:color w:val="2E2E2E"/>
          <w:sz w:val="27"/>
          <w:szCs w:val="27"/>
        </w:rPr>
        <w:t>a middle).</w:t>
      </w:r>
    </w:p>
    <w:p w14:paraId="3CCCE31C" w14:textId="573EA1FF"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51AFE68C" wp14:editId="23FA5FEC">
            <wp:extent cx="5943600" cy="3680460"/>
            <wp:effectExtent l="0" t="0" r="0" b="0"/>
            <wp:docPr id="5" name="Picture 5"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3B039A42"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6. A receiver operating characteristic (ROC) curve, which plots a classifier’s true positive rate against the false positive rate, was calculated for each feature independently, both for within dataset classification (Anesthesia → Anesthesia; blue) and cross-dataset classification (Anesthesia → </w:t>
      </w:r>
      <w:hyperlink r:id="rId100"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xml:space="preserve">; pink). The univariate ROC curves were subsequently </w:t>
      </w:r>
      <w:r w:rsidRPr="00A8580F">
        <w:rPr>
          <w:rFonts w:ascii="Times New Roman" w:eastAsia="Times New Roman" w:hAnsi="Times New Roman" w:cs="Times New Roman"/>
          <w:color w:val="2E2E2E"/>
          <w:sz w:val="24"/>
          <w:szCs w:val="24"/>
        </w:rPr>
        <w:lastRenderedPageBreak/>
        <w:t>averaged to yield a representative univariate ROC curve within each of the four analyses of </w:t>
      </w:r>
      <w:hyperlink r:id="rId101" w:tooltip="Learn more about functional connectivity from ScienceDirect's AI-generated Topic Pages" w:history="1">
        <w:r w:rsidRPr="00A8580F">
          <w:rPr>
            <w:rFonts w:ascii="Times New Roman" w:eastAsia="Times New Roman" w:hAnsi="Times New Roman" w:cs="Times New Roman"/>
            <w:color w:val="2E2E2E"/>
            <w:sz w:val="24"/>
            <w:szCs w:val="24"/>
            <w:u w:val="single"/>
          </w:rPr>
          <w:t>functional connectivity</w:t>
        </w:r>
      </w:hyperlink>
      <w:r w:rsidRPr="00A8580F">
        <w:rPr>
          <w:rFonts w:ascii="Times New Roman" w:eastAsia="Times New Roman" w:hAnsi="Times New Roman" w:cs="Times New Roman"/>
          <w:color w:val="2E2E2E"/>
          <w:sz w:val="24"/>
          <w:szCs w:val="24"/>
        </w:rPr>
        <w:t>. The representative ROC curve was used to determine the area under the curve (AUC), which served as the quantitative measure of univariate classifier performance. The dashed line represents chance-level performance. Shaded areas represent ± 1SD.</w:t>
      </w:r>
    </w:p>
    <w:p w14:paraId="1441B95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To ensure that the observed performance was not being driven by non-neural activity that may confound the BOLD signal we performed an analogous model-free </w:t>
      </w:r>
      <w:hyperlink r:id="rId102" w:tooltip="Learn more about univariate analysis from ScienceDirect's AI-generated Topic Pages" w:history="1">
        <w:r w:rsidRPr="00A8580F">
          <w:rPr>
            <w:rFonts w:ascii="Times New Roman" w:eastAsia="Times New Roman" w:hAnsi="Times New Roman" w:cs="Times New Roman"/>
            <w:color w:val="2E2E2E"/>
            <w:sz w:val="27"/>
            <w:szCs w:val="27"/>
            <w:u w:val="single"/>
          </w:rPr>
          <w:t>univariate analysis</w:t>
        </w:r>
      </w:hyperlink>
      <w:r w:rsidRPr="00A8580F">
        <w:rPr>
          <w:rFonts w:ascii="Times New Roman" w:eastAsia="Times New Roman" w:hAnsi="Times New Roman" w:cs="Times New Roman"/>
          <w:color w:val="2E2E2E"/>
          <w:sz w:val="27"/>
          <w:szCs w:val="27"/>
        </w:rPr>
        <w:t> using 13 features derived from head motion (standard deviation of head motion in 12 directions, Euclidean norm of all head motion parameters). Although the motion-based features performed slightly above chance-level within-dataset (M = 0.66, SD = 0.15), they had notably low performance cross-dataset (M = 0.20, SD = 0.08).</w:t>
      </w:r>
    </w:p>
    <w:p w14:paraId="386FC62D"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3.2. Model performance</w:t>
      </w:r>
    </w:p>
    <w:p w14:paraId="33126D16"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three models all showed strong classification performance prior to feature pruning and hyperparameter optimization (Default) (within-dataset; cross-dataset): </w:t>
      </w:r>
      <w:hyperlink r:id="rId103" w:tooltip="Learn more about SVM from ScienceDirect's AI-generated Topic Pages" w:history="1">
        <w:r w:rsidRPr="00A8580F">
          <w:rPr>
            <w:rFonts w:ascii="Times New Roman" w:eastAsia="Times New Roman" w:hAnsi="Times New Roman" w:cs="Times New Roman"/>
            <w:color w:val="2E2E2E"/>
            <w:sz w:val="27"/>
            <w:szCs w:val="27"/>
            <w:u w:val="single"/>
          </w:rPr>
          <w:t>SVM</w:t>
        </w:r>
      </w:hyperlink>
      <w:r w:rsidRPr="00A8580F">
        <w:rPr>
          <w:rFonts w:ascii="Times New Roman" w:eastAsia="Times New Roman" w:hAnsi="Times New Roman" w:cs="Times New Roman"/>
          <w:color w:val="2E2E2E"/>
          <w:sz w:val="27"/>
          <w:szCs w:val="27"/>
        </w:rPr>
        <w:t> (M = 0.83, SD = 0.11; M = 0.85, SD = 0.04; </w:t>
      </w:r>
      <w:bookmarkStart w:id="90" w:name="bfig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7</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a,d), ET (M = 0.92, SD = 0.07; M = 0.92, SD = 0.02; </w:t>
      </w:r>
      <w:hyperlink r:id="rId104" w:anchor="fig7" w:history="1">
        <w:r w:rsidRPr="00A8580F">
          <w:rPr>
            <w:rFonts w:ascii="Times New Roman" w:eastAsia="Times New Roman" w:hAnsi="Times New Roman" w:cs="Times New Roman"/>
            <w:color w:val="0C7DBB"/>
            <w:sz w:val="27"/>
            <w:szCs w:val="27"/>
            <w:u w:val="single"/>
          </w:rPr>
          <w:t>Fig. 7</w:t>
        </w:r>
      </w:hyperlink>
      <w:r w:rsidRPr="00A8580F">
        <w:rPr>
          <w:rFonts w:ascii="Times New Roman" w:eastAsia="Times New Roman" w:hAnsi="Times New Roman" w:cs="Times New Roman"/>
          <w:color w:val="2E2E2E"/>
          <w:sz w:val="27"/>
          <w:szCs w:val="27"/>
        </w:rPr>
        <w:t>b,e), </w:t>
      </w:r>
      <w:hyperlink r:id="rId105" w:tooltip="Learn more about ANN from ScienceDirect's AI-generated Topic Pages" w:history="1">
        <w:r w:rsidRPr="00A8580F">
          <w:rPr>
            <w:rFonts w:ascii="Times New Roman" w:eastAsia="Times New Roman" w:hAnsi="Times New Roman" w:cs="Times New Roman"/>
            <w:color w:val="2E2E2E"/>
            <w:sz w:val="27"/>
            <w:szCs w:val="27"/>
            <w:u w:val="single"/>
          </w:rPr>
          <w:t>ANN</w:t>
        </w:r>
      </w:hyperlink>
      <w:r w:rsidRPr="00A8580F">
        <w:rPr>
          <w:rFonts w:ascii="Times New Roman" w:eastAsia="Times New Roman" w:hAnsi="Times New Roman" w:cs="Times New Roman"/>
          <w:color w:val="2E2E2E"/>
          <w:sz w:val="27"/>
          <w:szCs w:val="27"/>
        </w:rPr>
        <w:t> (M = 0.94, SD = 0.06; M = 0.98, SD = 0.01; </w:t>
      </w:r>
      <w:hyperlink r:id="rId106" w:anchor="fig7" w:history="1">
        <w:r w:rsidRPr="00A8580F">
          <w:rPr>
            <w:rFonts w:ascii="Times New Roman" w:eastAsia="Times New Roman" w:hAnsi="Times New Roman" w:cs="Times New Roman"/>
            <w:color w:val="0C7DBB"/>
            <w:sz w:val="27"/>
            <w:szCs w:val="27"/>
            <w:u w:val="single"/>
          </w:rPr>
          <w:t>Fig. 7</w:t>
        </w:r>
      </w:hyperlink>
      <w:bookmarkEnd w:id="90"/>
      <w:r w:rsidRPr="00A8580F">
        <w:rPr>
          <w:rFonts w:ascii="Times New Roman" w:eastAsia="Times New Roman" w:hAnsi="Times New Roman" w:cs="Times New Roman"/>
          <w:color w:val="2E2E2E"/>
          <w:sz w:val="27"/>
          <w:szCs w:val="27"/>
        </w:rPr>
        <w:t>c,f).</w:t>
      </w:r>
    </w:p>
    <w:p w14:paraId="64EFBC6E" w14:textId="0F1EE7BC"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drawing>
          <wp:inline distT="0" distB="0" distL="0" distR="0" wp14:anchorId="642C66F8" wp14:editId="70D0A38A">
            <wp:extent cx="5943600" cy="2563495"/>
            <wp:effectExtent l="0" t="0" r="0" b="8255"/>
            <wp:docPr id="4" name="Picture 4"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43600" cy="2563495"/>
                    </a:xfrm>
                    <a:prstGeom prst="rect">
                      <a:avLst/>
                    </a:prstGeom>
                    <a:noFill/>
                    <a:ln>
                      <a:noFill/>
                    </a:ln>
                  </pic:spPr>
                </pic:pic>
              </a:graphicData>
            </a:graphic>
          </wp:inline>
        </w:drawing>
      </w:r>
    </w:p>
    <w:p w14:paraId="77F75745"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7. </w:t>
      </w:r>
      <w:hyperlink r:id="rId108" w:tooltip="Learn more about Support vector machine from ScienceDirect's AI-generated Topic Pages" w:history="1">
        <w:r w:rsidRPr="00A8580F">
          <w:rPr>
            <w:rFonts w:ascii="Times New Roman" w:eastAsia="Times New Roman" w:hAnsi="Times New Roman" w:cs="Times New Roman"/>
            <w:color w:val="2E2E2E"/>
            <w:sz w:val="24"/>
            <w:szCs w:val="24"/>
            <w:u w:val="single"/>
          </w:rPr>
          <w:t>Support vector machine</w:t>
        </w:r>
      </w:hyperlink>
      <w:r w:rsidRPr="00A8580F">
        <w:rPr>
          <w:rFonts w:ascii="Times New Roman" w:eastAsia="Times New Roman" w:hAnsi="Times New Roman" w:cs="Times New Roman"/>
          <w:color w:val="2E2E2E"/>
          <w:sz w:val="24"/>
          <w:szCs w:val="24"/>
        </w:rPr>
        <w:t> (SVM), </w:t>
      </w:r>
      <w:r w:rsidRPr="00A8580F">
        <w:rPr>
          <w:rFonts w:ascii="Times New Roman" w:eastAsia="Times New Roman" w:hAnsi="Times New Roman" w:cs="Times New Roman"/>
          <w:i/>
          <w:iCs/>
          <w:color w:val="2E2E2E"/>
          <w:sz w:val="24"/>
          <w:szCs w:val="24"/>
        </w:rPr>
        <w:t>Extra Trees</w:t>
      </w:r>
      <w:r w:rsidRPr="00A8580F">
        <w:rPr>
          <w:rFonts w:ascii="Times New Roman" w:eastAsia="Times New Roman" w:hAnsi="Times New Roman" w:cs="Times New Roman"/>
          <w:color w:val="2E2E2E"/>
          <w:sz w:val="24"/>
          <w:szCs w:val="24"/>
        </w:rPr>
        <w:t> (ET), and </w:t>
      </w:r>
      <w:hyperlink r:id="rId109" w:tooltip="Learn more about artificial neural network from ScienceDirect's AI-generated Topic Pages" w:history="1">
        <w:r w:rsidRPr="00A8580F">
          <w:rPr>
            <w:rFonts w:ascii="Times New Roman" w:eastAsia="Times New Roman" w:hAnsi="Times New Roman" w:cs="Times New Roman"/>
            <w:color w:val="2E2E2E"/>
            <w:sz w:val="24"/>
            <w:szCs w:val="24"/>
            <w:u w:val="single"/>
          </w:rPr>
          <w:t>artificial neural network</w:t>
        </w:r>
      </w:hyperlink>
      <w:r w:rsidRPr="00A8580F">
        <w:rPr>
          <w:rFonts w:ascii="Times New Roman" w:eastAsia="Times New Roman" w:hAnsi="Times New Roman" w:cs="Times New Roman"/>
          <w:color w:val="2E2E2E"/>
          <w:sz w:val="24"/>
          <w:szCs w:val="24"/>
        </w:rPr>
        <w:t> (ANN) performance without hyperparameter optimization or feature selection (Default), with feature pruning only (Pruned), and with hyperparameter optimization only (Optimized). </w:t>
      </w:r>
      <w:r w:rsidRPr="00A8580F">
        <w:rPr>
          <w:rFonts w:ascii="Times New Roman" w:eastAsia="Times New Roman" w:hAnsi="Times New Roman" w:cs="Times New Roman"/>
          <w:b/>
          <w:bCs/>
          <w:color w:val="2E2E2E"/>
          <w:sz w:val="24"/>
          <w:szCs w:val="24"/>
        </w:rPr>
        <w:t>(</w:t>
      </w:r>
      <w:proofErr w:type="spellStart"/>
      <w:proofErr w:type="gramStart"/>
      <w:r w:rsidRPr="00A8580F">
        <w:rPr>
          <w:rFonts w:ascii="Times New Roman" w:eastAsia="Times New Roman" w:hAnsi="Times New Roman" w:cs="Times New Roman"/>
          <w:b/>
          <w:bCs/>
          <w:color w:val="2E2E2E"/>
          <w:sz w:val="24"/>
          <w:szCs w:val="24"/>
        </w:rPr>
        <w:t>a,b</w:t>
      </w:r>
      <w:proofErr w:type="gramEnd"/>
      <w:r w:rsidRPr="00A8580F">
        <w:rPr>
          <w:rFonts w:ascii="Times New Roman" w:eastAsia="Times New Roman" w:hAnsi="Times New Roman" w:cs="Times New Roman"/>
          <w:b/>
          <w:bCs/>
          <w:color w:val="2E2E2E"/>
          <w:sz w:val="24"/>
          <w:szCs w:val="24"/>
        </w:rPr>
        <w:t>,c</w:t>
      </w:r>
      <w:proofErr w:type="spellEnd"/>
      <w:r w:rsidRPr="00A8580F">
        <w:rPr>
          <w:rFonts w:ascii="Times New Roman" w:eastAsia="Times New Roman" w:hAnsi="Times New Roman" w:cs="Times New Roman"/>
          <w:b/>
          <w:bCs/>
          <w:color w:val="2E2E2E"/>
          <w:sz w:val="24"/>
          <w:szCs w:val="24"/>
        </w:rPr>
        <w:t>)</w:t>
      </w:r>
      <w:r w:rsidRPr="00A8580F">
        <w:rPr>
          <w:rFonts w:ascii="Times New Roman" w:eastAsia="Times New Roman" w:hAnsi="Times New Roman" w:cs="Times New Roman"/>
          <w:color w:val="2E2E2E"/>
          <w:sz w:val="24"/>
          <w:szCs w:val="24"/>
        </w:rPr>
        <w:t> Within-dataset reliability (Anesthesia → Anesthesia) for each model was evaluated using 100 × 5 nested cross-validation. </w:t>
      </w:r>
      <w:r w:rsidRPr="00A8580F">
        <w:rPr>
          <w:rFonts w:ascii="Times New Roman" w:eastAsia="Times New Roman" w:hAnsi="Times New Roman" w:cs="Times New Roman"/>
          <w:b/>
          <w:bCs/>
          <w:color w:val="2E2E2E"/>
          <w:sz w:val="24"/>
          <w:szCs w:val="24"/>
        </w:rPr>
        <w:t>(</w:t>
      </w:r>
      <w:proofErr w:type="spellStart"/>
      <w:r w:rsidRPr="00A8580F">
        <w:rPr>
          <w:rFonts w:ascii="Times New Roman" w:eastAsia="Times New Roman" w:hAnsi="Times New Roman" w:cs="Times New Roman"/>
          <w:b/>
          <w:bCs/>
          <w:color w:val="2E2E2E"/>
          <w:sz w:val="24"/>
          <w:szCs w:val="24"/>
        </w:rPr>
        <w:t>d,e,f</w:t>
      </w:r>
      <w:proofErr w:type="spellEnd"/>
      <w:r w:rsidRPr="00A8580F">
        <w:rPr>
          <w:rFonts w:ascii="Times New Roman" w:eastAsia="Times New Roman" w:hAnsi="Times New Roman" w:cs="Times New Roman"/>
          <w:b/>
          <w:bCs/>
          <w:color w:val="2E2E2E"/>
          <w:sz w:val="24"/>
          <w:szCs w:val="24"/>
        </w:rPr>
        <w:t>)</w:t>
      </w:r>
      <w:r w:rsidRPr="00A8580F">
        <w:rPr>
          <w:rFonts w:ascii="Times New Roman" w:eastAsia="Times New Roman" w:hAnsi="Times New Roman" w:cs="Times New Roman"/>
          <w:color w:val="2E2E2E"/>
          <w:sz w:val="24"/>
          <w:szCs w:val="24"/>
        </w:rPr>
        <w:t> Cross-dataset generalizability (Anesthesia → DOC) was evaluated by testing the fully-trained models on 100 bootstrap samples of the </w:t>
      </w:r>
      <w:hyperlink r:id="rId110"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xml:space="preserve"> data. The solid lines represent the mean ROC’s across 100 evaluations. </w:t>
      </w:r>
      <w:r w:rsidRPr="00A8580F">
        <w:rPr>
          <w:rFonts w:ascii="Times New Roman" w:eastAsia="Times New Roman" w:hAnsi="Times New Roman" w:cs="Times New Roman"/>
          <w:color w:val="2E2E2E"/>
          <w:sz w:val="24"/>
          <w:szCs w:val="24"/>
        </w:rPr>
        <w:lastRenderedPageBreak/>
        <w:t>Shaded areas represent ± 1SD. The dashed line represents chance-level performance (AUC ​= ​0.50). * indicates Bonferroni-corrected p ​&lt; ​0.05.</w:t>
      </w:r>
    </w:p>
    <w:p w14:paraId="66DBE1C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Two of the models showed significantly reduced classification performance within- and cross-dataset following feature pruning (Pruned) (within-dataset; cross-dataset): ET (t(99) = 5.83, p &lt; 0.001; t(99) = 16.55, p &lt; 0.001), ANN (t(99) = 10.01, p &lt; 0.001; t(99) = 38.10, p &lt; 0.001). In contrast, feature pruning did not appear to meaningfully affect the SVM model.</w:t>
      </w:r>
    </w:p>
    <w:p w14:paraId="1C71AF44"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two models which participated in hyperparameter optimization achieved a statistically significant increase in cross-dataset classification performance (Optimized): SVM (</w:t>
      </w:r>
      <w:proofErr w:type="gramStart"/>
      <w:r w:rsidRPr="00A8580F">
        <w:rPr>
          <w:rFonts w:ascii="Times New Roman" w:eastAsia="Times New Roman" w:hAnsi="Times New Roman" w:cs="Times New Roman"/>
          <w:color w:val="2E2E2E"/>
          <w:sz w:val="27"/>
          <w:szCs w:val="27"/>
        </w:rPr>
        <w:t>t(</w:t>
      </w:r>
      <w:proofErr w:type="gramEnd"/>
      <w:r w:rsidRPr="00A8580F">
        <w:rPr>
          <w:rFonts w:ascii="Times New Roman" w:eastAsia="Times New Roman" w:hAnsi="Times New Roman" w:cs="Times New Roman"/>
          <w:color w:val="2E2E2E"/>
          <w:sz w:val="27"/>
          <w:szCs w:val="27"/>
        </w:rPr>
        <w:t>99) = 33.51, p &lt; 0.001), ET (t(99) = 5.48, p &lt; 0.001). Whereas hyperparameter optimization also improved within-dataset performance for the support vector machine (</w:t>
      </w:r>
      <w:proofErr w:type="gramStart"/>
      <w:r w:rsidRPr="00A8580F">
        <w:rPr>
          <w:rFonts w:ascii="Times New Roman" w:eastAsia="Times New Roman" w:hAnsi="Times New Roman" w:cs="Times New Roman"/>
          <w:color w:val="2E2E2E"/>
          <w:sz w:val="27"/>
          <w:szCs w:val="27"/>
        </w:rPr>
        <w:t>t(</w:t>
      </w:r>
      <w:proofErr w:type="gramEnd"/>
      <w:r w:rsidRPr="00A8580F">
        <w:rPr>
          <w:rFonts w:ascii="Times New Roman" w:eastAsia="Times New Roman" w:hAnsi="Times New Roman" w:cs="Times New Roman"/>
          <w:color w:val="2E2E2E"/>
          <w:sz w:val="27"/>
          <w:szCs w:val="27"/>
        </w:rPr>
        <w:t>99) = 8.55, p &lt; 0.001), no significant difference was observed with the ET model.</w:t>
      </w:r>
    </w:p>
    <w:p w14:paraId="505D95F9"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Overall, the SVM was most affected by the hyperparameter optimization, showing a marked increase in Post-Optimization vs Pre-Optimization performance (</w:t>
      </w:r>
      <w:proofErr w:type="gramStart"/>
      <w:r w:rsidRPr="00A8580F">
        <w:rPr>
          <w:rFonts w:ascii="Times New Roman" w:eastAsia="Times New Roman" w:hAnsi="Times New Roman" w:cs="Times New Roman"/>
          <w:color w:val="2E2E2E"/>
          <w:sz w:val="27"/>
          <w:szCs w:val="27"/>
        </w:rPr>
        <w:t>M:+</w:t>
      </w:r>
      <w:proofErr w:type="gramEnd"/>
      <w:r w:rsidRPr="00A8580F">
        <w:rPr>
          <w:rFonts w:ascii="Times New Roman" w:eastAsia="Times New Roman" w:hAnsi="Times New Roman" w:cs="Times New Roman"/>
          <w:color w:val="2E2E2E"/>
          <w:sz w:val="27"/>
          <w:szCs w:val="27"/>
        </w:rPr>
        <w:t>0.12 within-dataset; M:+0.14 cross-dataset) and reduction in performance variability (SD: 0.05 within-dataset; SD: 0.04 cross-dataset).</w:t>
      </w:r>
    </w:p>
    <w:p w14:paraId="314F5C3B"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Taken together, our results suggest that careful hyperparameter optimization is an essential step in constructing a robust machine learning classifier, particularly when using the SVM, and that automated methods for choosing appropriate hyperparameters (e.g.,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may offer an effective, less-biased approach altogether more preferable than other manual tuning methods. Moreover, our results also suggest that pruning features based on observed group differences in the training dataset may worsen, rather than improve, classification performance within- and cross-dataset for some models.</w:t>
      </w:r>
    </w:p>
    <w:p w14:paraId="4C92170E"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3.3. Stress tests</w:t>
      </w:r>
    </w:p>
    <w:p w14:paraId="1B8B42D7"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All models achieved near-optimal performance (AUC&gt;0.95) both within- and cross-dataset following hyperparameter optimization. For this reason, we applied computational stress tests to explore which of the models continued to perform well when presented with sub-optimal data. As expected, classification performance (AUC) steadily declined as increasing numbers of features were randomly dropped from the test dataset (</w:t>
      </w:r>
      <w:hyperlink r:id="rId111" w:tooltip="Learn more about DOC from ScienceDirect's AI-generated Topic Pages" w:history="1">
        <w:r w:rsidRPr="00A8580F">
          <w:rPr>
            <w:rFonts w:ascii="Times New Roman" w:eastAsia="Times New Roman" w:hAnsi="Times New Roman" w:cs="Times New Roman"/>
            <w:i/>
            <w:iCs/>
            <w:color w:val="2E2E2E"/>
            <w:sz w:val="27"/>
            <w:szCs w:val="27"/>
            <w:u w:val="single"/>
          </w:rPr>
          <w:t>DOC</w:t>
        </w:r>
      </w:hyperlink>
      <w:r w:rsidRPr="00A8580F">
        <w:rPr>
          <w:rFonts w:ascii="Times New Roman" w:eastAsia="Times New Roman" w:hAnsi="Times New Roman" w:cs="Times New Roman"/>
          <w:color w:val="2E2E2E"/>
          <w:sz w:val="27"/>
          <w:szCs w:val="27"/>
        </w:rPr>
        <w:t>). All three models preserved a relatively strong mean AUC (&gt;0.80) until the number of features dropped (zeroed) exceeded 60–80% (</w:t>
      </w:r>
      <w:bookmarkStart w:id="91" w:name="bfig8"/>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"fig8"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w:t>
      </w:r>
    </w:p>
    <w:p w14:paraId="488FE1E9" w14:textId="23ABDAB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16771755" wp14:editId="2CB12A2D">
            <wp:extent cx="5943600" cy="1434465"/>
            <wp:effectExtent l="0" t="0" r="0" b="0"/>
            <wp:docPr id="3" name="Picture 3"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a:ln>
                      <a:noFill/>
                    </a:ln>
                  </pic:spPr>
                </pic:pic>
              </a:graphicData>
            </a:graphic>
          </wp:inline>
        </w:drawing>
      </w:r>
    </w:p>
    <w:p w14:paraId="408CC593"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8. Computational stress tests and analysis of feature importance.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Variable fractions of the </w:t>
      </w:r>
      <w:hyperlink r:id="rId113" w:tooltip="Learn more about functional connectivity from ScienceDirect's AI-generated Topic Pages" w:history="1">
        <w:r w:rsidRPr="00A8580F">
          <w:rPr>
            <w:rFonts w:ascii="Times New Roman" w:eastAsia="Times New Roman" w:hAnsi="Times New Roman" w:cs="Times New Roman"/>
            <w:color w:val="2E2E2E"/>
            <w:sz w:val="24"/>
            <w:szCs w:val="24"/>
            <w:u w:val="single"/>
          </w:rPr>
          <w:t>functional connectivity</w:t>
        </w:r>
      </w:hyperlink>
      <w:r w:rsidRPr="00A8580F">
        <w:rPr>
          <w:rFonts w:ascii="Times New Roman" w:eastAsia="Times New Roman" w:hAnsi="Times New Roman" w:cs="Times New Roman"/>
          <w:color w:val="2E2E2E"/>
          <w:sz w:val="24"/>
          <w:szCs w:val="24"/>
        </w:rPr>
        <w:t> features (0%–100%) were randomly dropped (zeroed) in the test dataset. The effect of random dropping was quantified using a mean area under the curve (AUC) analysis across 100 bootstrap samples of the </w:t>
      </w:r>
      <w:hyperlink r:id="rId114"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 before and after removal.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Performance across variable signal-to-noise ratios (1/1-1/100) was quantified using the previously described DOC sampling and testing procedure. Dotted line represents chance-level performance (AUC = 0.50). Shaded areas represent ±1 SD.</w:t>
      </w:r>
    </w:p>
    <w:p w14:paraId="73847742"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second computational stress test, namely a systematic reduction of the </w:t>
      </w:r>
      <w:hyperlink r:id="rId115" w:tooltip="Learn more about signal to noise ratio from ScienceDirect's AI-generated Topic Pages" w:history="1">
        <w:r w:rsidRPr="00A8580F">
          <w:rPr>
            <w:rFonts w:ascii="Times New Roman" w:eastAsia="Times New Roman" w:hAnsi="Times New Roman" w:cs="Times New Roman"/>
            <w:color w:val="2E2E2E"/>
            <w:sz w:val="27"/>
            <w:szCs w:val="27"/>
            <w:u w:val="single"/>
          </w:rPr>
          <w:t>signal to noise ratio</w:t>
        </w:r>
      </w:hyperlink>
      <w:r w:rsidRPr="00A8580F">
        <w:rPr>
          <w:rFonts w:ascii="Times New Roman" w:eastAsia="Times New Roman" w:hAnsi="Times New Roman" w:cs="Times New Roman"/>
          <w:color w:val="2E2E2E"/>
          <w:sz w:val="27"/>
          <w:szCs w:val="27"/>
        </w:rPr>
        <w:t> (SNR), allowed us to simulate how each model responded to poor data quality (high levels of noise) (</w:t>
      </w:r>
      <w:hyperlink r:id="rId116" w:anchor="fig8" w:history="1">
        <w:r w:rsidRPr="00A8580F">
          <w:rPr>
            <w:rFonts w:ascii="Times New Roman" w:eastAsia="Times New Roman" w:hAnsi="Times New Roman" w:cs="Times New Roman"/>
            <w:color w:val="0C7DBB"/>
            <w:sz w:val="27"/>
            <w:szCs w:val="27"/>
            <w:u w:val="single"/>
          </w:rPr>
          <w:t>Fig. 8</w:t>
        </w:r>
      </w:hyperlink>
      <w:bookmarkEnd w:id="91"/>
      <w:r w:rsidRPr="00A8580F">
        <w:rPr>
          <w:rFonts w:ascii="Times New Roman" w:eastAsia="Times New Roman" w:hAnsi="Times New Roman" w:cs="Times New Roman"/>
          <w:color w:val="2E2E2E"/>
          <w:sz w:val="27"/>
          <w:szCs w:val="27"/>
        </w:rPr>
        <w:t>b). This analysis showed that the ET model retained the highest mean AUC across decreasing SNR’s, whereas the SVM and ANN models declined more rapidly to around chance-level performance: 1/25 (ET:~0.76; ANN:~0.63; SVM:~0.63), 1/50 (ET:~0.67; ANN:~0.58; SVM:~0.59), 1/100 (ET:~0.58; ANN:~0.55; SVM:~0.55).</w:t>
      </w:r>
    </w:p>
    <w:p w14:paraId="3BE01D8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results of the computational stress tests suggest that the ET model is somewhat better-equipped to manage sub-optimal data; perhaps as a consequence of the model’s unique method of constructing numerous heterogeneous trees which introduce randomness into the model and subsequent averaging of predictions through the use of bootstrap aggregation.</w:t>
      </w:r>
    </w:p>
    <w:p w14:paraId="1FD9BC4E"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3.4. Feature importance</w:t>
      </w:r>
    </w:p>
    <w:p w14:paraId="7F19C44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In order to better understand the particular features driving model performance, we performed an exploratory analysis of feature importance on both the SVM and ET models. Given that the optimized SVM was linear, we were able to quantify relative importance by examining the coefficients of the linear hyperplane (</w:t>
      </w:r>
      <w:bookmarkStart w:id="92" w:name="bfig9"/>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9</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a); in line with previous recommendations, the coefficients of the hyperplane were squared (</w:t>
      </w:r>
      <w:bookmarkStart w:id="93" w:name="bbib43"/>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"bib43"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Guyon et al., 2002</w:t>
      </w:r>
      <w:r w:rsidRPr="00A8580F">
        <w:rPr>
          <w:rFonts w:ascii="Times New Roman" w:eastAsia="Times New Roman" w:hAnsi="Times New Roman" w:cs="Times New Roman"/>
          <w:color w:val="2E2E2E"/>
          <w:sz w:val="27"/>
          <w:szCs w:val="27"/>
        </w:rPr>
        <w:fldChar w:fldCharType="end"/>
      </w:r>
      <w:bookmarkEnd w:id="93"/>
      <w:r w:rsidRPr="00A8580F">
        <w:rPr>
          <w:rFonts w:ascii="Times New Roman" w:eastAsia="Times New Roman" w:hAnsi="Times New Roman" w:cs="Times New Roman"/>
          <w:color w:val="2E2E2E"/>
          <w:sz w:val="27"/>
          <w:szCs w:val="27"/>
        </w:rPr>
        <w:t>). Feature importance within the ET model is a readily accessible attribute of the model &lt; sklearn.ensemble.ExtraTreesClassifier.feature_importances_&gt; that represents how much a single feature contributes to decreasing the Gini impurity at each split (</w:t>
      </w:r>
      <w:hyperlink r:id="rId117" w:anchor="fig9" w:history="1">
        <w:r w:rsidRPr="00A8580F">
          <w:rPr>
            <w:rFonts w:ascii="Times New Roman" w:eastAsia="Times New Roman" w:hAnsi="Times New Roman" w:cs="Times New Roman"/>
            <w:color w:val="0C7DBB"/>
            <w:sz w:val="27"/>
            <w:szCs w:val="27"/>
            <w:u w:val="single"/>
          </w:rPr>
          <w:t>Fig. 9</w:t>
        </w:r>
      </w:hyperlink>
      <w:bookmarkEnd w:id="92"/>
      <w:r w:rsidRPr="00A8580F">
        <w:rPr>
          <w:rFonts w:ascii="Times New Roman" w:eastAsia="Times New Roman" w:hAnsi="Times New Roman" w:cs="Times New Roman"/>
          <w:color w:val="2E2E2E"/>
          <w:sz w:val="27"/>
          <w:szCs w:val="27"/>
        </w:rPr>
        <w:t>b).</w:t>
      </w:r>
    </w:p>
    <w:p w14:paraId="1A8B4CEE" w14:textId="2C06DACD"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71C6C62F" wp14:editId="37E01EB5">
            <wp:extent cx="5943600" cy="1845945"/>
            <wp:effectExtent l="0" t="0" r="0" b="1905"/>
            <wp:docPr id="2" name="Picture 2"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1BD59D4A"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9. Exploratory post-hoc analysis of feature importance for the optimized </w:t>
      </w:r>
      <w:hyperlink r:id="rId119" w:tooltip="Learn more about support vector machine from ScienceDirect's AI-generated Topic Pages" w:history="1">
        <w:r w:rsidRPr="00A8580F">
          <w:rPr>
            <w:rFonts w:ascii="Times New Roman" w:eastAsia="Times New Roman" w:hAnsi="Times New Roman" w:cs="Times New Roman"/>
            <w:color w:val="2E2E2E"/>
            <w:sz w:val="24"/>
            <w:szCs w:val="24"/>
            <w:u w:val="single"/>
          </w:rPr>
          <w:t>support vector machine</w:t>
        </w:r>
      </w:hyperlink>
      <w:r w:rsidRPr="00A8580F">
        <w:rPr>
          <w:rFonts w:ascii="Times New Roman" w:eastAsia="Times New Roman" w:hAnsi="Times New Roman" w:cs="Times New Roman"/>
          <w:color w:val="2E2E2E"/>
          <w:sz w:val="24"/>
          <w:szCs w:val="24"/>
        </w:rPr>
        <w:t> (SVM) and </w:t>
      </w:r>
      <w:r w:rsidRPr="00A8580F">
        <w:rPr>
          <w:rFonts w:ascii="Times New Roman" w:eastAsia="Times New Roman" w:hAnsi="Times New Roman" w:cs="Times New Roman"/>
          <w:i/>
          <w:iCs/>
          <w:color w:val="2E2E2E"/>
          <w:sz w:val="24"/>
          <w:szCs w:val="24"/>
        </w:rPr>
        <w:t>Extra Trees</w:t>
      </w:r>
      <w:r w:rsidRPr="00A8580F">
        <w:rPr>
          <w:rFonts w:ascii="Times New Roman" w:eastAsia="Times New Roman" w:hAnsi="Times New Roman" w:cs="Times New Roman"/>
          <w:color w:val="2E2E2E"/>
          <w:sz w:val="24"/>
          <w:szCs w:val="24"/>
        </w:rPr>
        <w:t> (ET) models. </w:t>
      </w:r>
      <w:r w:rsidRPr="00A8580F">
        <w:rPr>
          <w:rFonts w:ascii="Times New Roman" w:eastAsia="Times New Roman" w:hAnsi="Times New Roman" w:cs="Times New Roman"/>
          <w:b/>
          <w:bCs/>
          <w:color w:val="2E2E2E"/>
          <w:sz w:val="24"/>
          <w:szCs w:val="24"/>
        </w:rPr>
        <w:t>(a)</w:t>
      </w:r>
      <w:r w:rsidRPr="00A8580F">
        <w:rPr>
          <w:rFonts w:ascii="Times New Roman" w:eastAsia="Times New Roman" w:hAnsi="Times New Roman" w:cs="Times New Roman"/>
          <w:color w:val="2E2E2E"/>
          <w:sz w:val="24"/>
          <w:szCs w:val="24"/>
        </w:rPr>
        <w:t> Since the optimized SVM was linear, feature importance was quantified by squaring the weights of the coefficients used by the model. </w:t>
      </w:r>
      <w:r w:rsidRPr="00A8580F">
        <w:rPr>
          <w:rFonts w:ascii="Times New Roman" w:eastAsia="Times New Roman" w:hAnsi="Times New Roman" w:cs="Times New Roman"/>
          <w:b/>
          <w:bCs/>
          <w:color w:val="2E2E2E"/>
          <w:sz w:val="24"/>
          <w:szCs w:val="24"/>
        </w:rPr>
        <w:t>(b)</w:t>
      </w:r>
      <w:r w:rsidRPr="00A8580F">
        <w:rPr>
          <w:rFonts w:ascii="Times New Roman" w:eastAsia="Times New Roman" w:hAnsi="Times New Roman" w:cs="Times New Roman"/>
          <w:color w:val="2E2E2E"/>
          <w:sz w:val="24"/>
          <w:szCs w:val="24"/>
        </w:rPr>
        <w:t> Within the ET model, feature importance corresponded to how much each feature decreased th</w:t>
      </w:r>
      <w:bookmarkStart w:id="94" w:name="_GoBack"/>
      <w:bookmarkEnd w:id="94"/>
      <w:r w:rsidRPr="00A8580F">
        <w:rPr>
          <w:rFonts w:ascii="Times New Roman" w:eastAsia="Times New Roman" w:hAnsi="Times New Roman" w:cs="Times New Roman"/>
          <w:color w:val="2E2E2E"/>
          <w:sz w:val="24"/>
          <w:szCs w:val="24"/>
        </w:rPr>
        <w:t>e Gini impurity. Across both models, larger values (red) are associated with higher feature importance relative to features with lower values (blue).</w:t>
      </w:r>
    </w:p>
    <w:p w14:paraId="6CFFE1F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This analysis indicated that the network-level analyses of functional connectivity, namely between network FC and within network FC, were the most informative features for the classification task across both models. Moreover, the ET model appeared to have used a wider set of features compared to the SVM.</w:t>
      </w:r>
    </w:p>
    <w:p w14:paraId="2F8CC8E0" w14:textId="77777777" w:rsidR="002E7EFA" w:rsidRPr="00A8580F" w:rsidRDefault="002E7EFA" w:rsidP="002E7EFA">
      <w:pPr>
        <w:spacing w:before="100" w:beforeAutospacing="1" w:after="100" w:afterAutospacing="1" w:line="240" w:lineRule="auto"/>
        <w:outlineLvl w:val="2"/>
        <w:rPr>
          <w:rFonts w:ascii="Times New Roman" w:eastAsia="Times New Roman" w:hAnsi="Times New Roman" w:cs="Times New Roman"/>
          <w:b/>
          <w:bCs/>
          <w:color w:val="505050"/>
          <w:sz w:val="27"/>
          <w:szCs w:val="27"/>
        </w:rPr>
      </w:pPr>
      <w:r w:rsidRPr="00A8580F">
        <w:rPr>
          <w:rFonts w:ascii="Times New Roman" w:eastAsia="Times New Roman" w:hAnsi="Times New Roman" w:cs="Times New Roman"/>
          <w:b/>
          <w:bCs/>
          <w:color w:val="505050"/>
          <w:sz w:val="27"/>
          <w:szCs w:val="27"/>
        </w:rPr>
        <w:t>3.5. Intermediate states</w:t>
      </w:r>
    </w:p>
    <w:p w14:paraId="470314DD"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Across all three models, a similar pattern emerged with respect to the non-intermediate states (</w:t>
      </w:r>
      <w:bookmarkStart w:id="95" w:name="bfig1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"fig10"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Fig. 10</w:t>
      </w:r>
      <w:r w:rsidRPr="00A8580F">
        <w:rPr>
          <w:rFonts w:ascii="Times New Roman" w:eastAsia="Times New Roman" w:hAnsi="Times New Roman" w:cs="Times New Roman"/>
          <w:color w:val="2E2E2E"/>
          <w:sz w:val="27"/>
          <w:szCs w:val="27"/>
        </w:rPr>
        <w:fldChar w:fldCharType="end"/>
      </w:r>
      <w:bookmarkEnd w:id="95"/>
      <w:r w:rsidRPr="00A8580F">
        <w:rPr>
          <w:rFonts w:ascii="Times New Roman" w:eastAsia="Times New Roman" w:hAnsi="Times New Roman" w:cs="Times New Roman"/>
          <w:color w:val="2E2E2E"/>
          <w:sz w:val="27"/>
          <w:szCs w:val="27"/>
        </w:rPr>
        <w:t>). Namely, the </w:t>
      </w:r>
      <w:hyperlink r:id="rId120" w:tooltip="Learn more about anesthesia recovery from ScienceDirect's AI-generated Topic Pages" w:history="1">
        <w:r w:rsidRPr="00A8580F">
          <w:rPr>
            <w:rFonts w:ascii="Times New Roman" w:eastAsia="Times New Roman" w:hAnsi="Times New Roman" w:cs="Times New Roman"/>
            <w:color w:val="2E2E2E"/>
            <w:sz w:val="27"/>
            <w:szCs w:val="27"/>
            <w:u w:val="single"/>
          </w:rPr>
          <w:t>anesthesia recovery</w:t>
        </w:r>
      </w:hyperlink>
      <w:r w:rsidRPr="00A8580F">
        <w:rPr>
          <w:rFonts w:ascii="Times New Roman" w:eastAsia="Times New Roman" w:hAnsi="Times New Roman" w:cs="Times New Roman"/>
          <w:color w:val="2E2E2E"/>
          <w:sz w:val="27"/>
          <w:szCs w:val="27"/>
        </w:rPr>
        <w:t> group (Rec) and healthy controls in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dataset (HC) were reliably classified as awake; Rec (SVM: t(14) = 20.18, p &lt; 0.001; ET: t(14) = 12.86, p &lt; 0.001; ANN: t(14) = 15.62, p &lt; 0.001), HC (SVM: t(27) = 9.97, p &lt; 0.001; ET: t(27) = 5.77, p &lt; 0.001; ANN: t(27) = 9.99, p &lt; 0.001). In addition, the UWS/VS were generally classified as unresponsive; UWS/VS (SVM: t(12) = 12.29, p &lt; 0.001; ET: t(12) = 5.06, p &lt; 0.01; ANN: not significant), whereas the </w:t>
      </w:r>
      <w:hyperlink r:id="rId121" w:tooltip="Learn more about MCS from ScienceDirect's AI-generated Topic Pages" w:history="1">
        <w:r w:rsidRPr="00A8580F">
          <w:rPr>
            <w:rFonts w:ascii="Times New Roman" w:eastAsia="Times New Roman" w:hAnsi="Times New Roman" w:cs="Times New Roman"/>
            <w:color w:val="2E2E2E"/>
            <w:sz w:val="27"/>
            <w:szCs w:val="27"/>
            <w:u w:val="single"/>
          </w:rPr>
          <w:t>MCS</w:t>
        </w:r>
      </w:hyperlink>
      <w:r w:rsidRPr="00A8580F">
        <w:rPr>
          <w:rFonts w:ascii="Times New Roman" w:eastAsia="Times New Roman" w:hAnsi="Times New Roman" w:cs="Times New Roman"/>
          <w:color w:val="2E2E2E"/>
          <w:sz w:val="27"/>
          <w:szCs w:val="27"/>
        </w:rPr>
        <w:t> classifications were indeterminate (SVM: not significant; ET: not significant; ANN: not significant). See </w:t>
      </w:r>
      <w:bookmarkStart w:id="96" w:name="btbl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"tbl2"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Table 2</w:t>
      </w:r>
      <w:r w:rsidRPr="00A8580F">
        <w:rPr>
          <w:rFonts w:ascii="Times New Roman" w:eastAsia="Times New Roman" w:hAnsi="Times New Roman" w:cs="Times New Roman"/>
          <w:color w:val="2E2E2E"/>
          <w:sz w:val="27"/>
          <w:szCs w:val="27"/>
        </w:rPr>
        <w:fldChar w:fldCharType="end"/>
      </w:r>
      <w:bookmarkEnd w:id="96"/>
      <w:r w:rsidRPr="00A8580F">
        <w:rPr>
          <w:rFonts w:ascii="Times New Roman" w:eastAsia="Times New Roman" w:hAnsi="Times New Roman" w:cs="Times New Roman"/>
          <w:color w:val="2E2E2E"/>
          <w:sz w:val="27"/>
          <w:szCs w:val="27"/>
        </w:rPr>
        <w:t> for a confusion matrix.</w:t>
      </w:r>
    </w:p>
    <w:p w14:paraId="5C4433CE" w14:textId="60F32D9B"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noProof/>
          <w:color w:val="2E2E2E"/>
          <w:sz w:val="27"/>
          <w:szCs w:val="27"/>
        </w:rPr>
        <w:lastRenderedPageBreak/>
        <w:drawing>
          <wp:inline distT="0" distB="0" distL="0" distR="0" wp14:anchorId="71ADDCA7" wp14:editId="3DC8F1DB">
            <wp:extent cx="5943600" cy="2610485"/>
            <wp:effectExtent l="0" t="0" r="0" b="0"/>
            <wp:docPr id="1" name="Picture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12C4A1B9" w14:textId="77777777" w:rsidR="002E7EFA" w:rsidRPr="00A8580F" w:rsidRDefault="002E7EFA" w:rsidP="00114ADF">
      <w:pPr>
        <w:spacing w:after="0" w:line="330" w:lineRule="atLeast"/>
        <w:ind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4"/>
          <w:szCs w:val="24"/>
        </w:rPr>
        <w:t>Fig. 10. Class assignment probability across models for subjects not included in the training data, from left to right: light anesthetic sedation (Light), recovery from anesthetic sedation (Rec), UWS/VS, </w:t>
      </w:r>
      <w:hyperlink r:id="rId123" w:tooltip="Learn more about MCS from ScienceDirect's AI-generated Topic Pages" w:history="1">
        <w:r w:rsidRPr="00A8580F">
          <w:rPr>
            <w:rFonts w:ascii="Times New Roman" w:eastAsia="Times New Roman" w:hAnsi="Times New Roman" w:cs="Times New Roman"/>
            <w:color w:val="2E2E2E"/>
            <w:sz w:val="24"/>
            <w:szCs w:val="24"/>
            <w:u w:val="single"/>
          </w:rPr>
          <w:t>MCS</w:t>
        </w:r>
      </w:hyperlink>
      <w:r w:rsidRPr="00A8580F">
        <w:rPr>
          <w:rFonts w:ascii="Times New Roman" w:eastAsia="Times New Roman" w:hAnsi="Times New Roman" w:cs="Times New Roman"/>
          <w:color w:val="2E2E2E"/>
          <w:sz w:val="24"/>
          <w:szCs w:val="24"/>
        </w:rPr>
        <w:t>, healthy controls (HC) from the </w:t>
      </w:r>
      <w:hyperlink r:id="rId124" w:tooltip="Learn more about DOC from ScienceDirect's AI-generated Topic Pages" w:history="1">
        <w:r w:rsidRPr="00A8580F">
          <w:rPr>
            <w:rFonts w:ascii="Times New Roman" w:eastAsia="Times New Roman" w:hAnsi="Times New Roman" w:cs="Times New Roman"/>
            <w:color w:val="2E2E2E"/>
            <w:sz w:val="24"/>
            <w:szCs w:val="24"/>
            <w:u w:val="single"/>
          </w:rPr>
          <w:t>DOC</w:t>
        </w:r>
      </w:hyperlink>
      <w:r w:rsidRPr="00A8580F">
        <w:rPr>
          <w:rFonts w:ascii="Times New Roman" w:eastAsia="Times New Roman" w:hAnsi="Times New Roman" w:cs="Times New Roman"/>
          <w:color w:val="2E2E2E"/>
          <w:sz w:val="24"/>
          <w:szCs w:val="24"/>
        </w:rPr>
        <w:t> dataset. Models were trained on the anesthesia datasets, such that 0 mapped to an unresponsive state and 1 mapped to an awake state. The predicted classification probabilities for each group were compared to binary decision threshold set at 0.5 to identify groups reliably classified as awake or unresponsive. A secondary analysis was performed to identify differences between the MCS and UWS/VS groups, the MCS and Wake groups, and the Light and Rec groups. * indicates uncorrected p ​&lt; ​0.05 for one sample </w:t>
      </w:r>
      <w:r w:rsidRPr="00A8580F">
        <w:rPr>
          <w:rFonts w:ascii="Times New Roman" w:eastAsia="Times New Roman" w:hAnsi="Times New Roman" w:cs="Times New Roman"/>
          <w:i/>
          <w:iCs/>
          <w:color w:val="2E2E2E"/>
          <w:sz w:val="24"/>
          <w:szCs w:val="24"/>
        </w:rPr>
        <w:t>t</w:t>
      </w:r>
      <w:r w:rsidRPr="00A8580F">
        <w:rPr>
          <w:rFonts w:ascii="Times New Roman" w:eastAsia="Times New Roman" w:hAnsi="Times New Roman" w:cs="Times New Roman"/>
          <w:color w:val="2E2E2E"/>
          <w:sz w:val="24"/>
          <w:szCs w:val="24"/>
        </w:rPr>
        <w:t>-test vs binary decision threshold. ‡ indicates uncorrected p &lt; 0.05 for two sample </w:t>
      </w:r>
      <w:r w:rsidRPr="00A8580F">
        <w:rPr>
          <w:rFonts w:ascii="Times New Roman" w:eastAsia="Times New Roman" w:hAnsi="Times New Roman" w:cs="Times New Roman"/>
          <w:i/>
          <w:iCs/>
          <w:color w:val="2E2E2E"/>
          <w:sz w:val="24"/>
          <w:szCs w:val="24"/>
        </w:rPr>
        <w:t>t</w:t>
      </w:r>
      <w:r w:rsidRPr="00A8580F">
        <w:rPr>
          <w:rFonts w:ascii="Times New Roman" w:eastAsia="Times New Roman" w:hAnsi="Times New Roman" w:cs="Times New Roman"/>
          <w:color w:val="2E2E2E"/>
          <w:sz w:val="24"/>
          <w:szCs w:val="24"/>
        </w:rPr>
        <w:t>-test.</w:t>
      </w:r>
    </w:p>
    <w:p w14:paraId="1C7CE2DE" w14:textId="77777777" w:rsidR="002E7EFA" w:rsidRPr="00A8580F" w:rsidRDefault="002E7EFA" w:rsidP="002E7EFA">
      <w:pPr>
        <w:spacing w:line="330" w:lineRule="atLeast"/>
        <w:ind w:left="360" w:right="360"/>
        <w:rPr>
          <w:rFonts w:ascii="Times New Roman" w:eastAsia="Times New Roman" w:hAnsi="Times New Roman" w:cs="Times New Roman"/>
          <w:color w:val="2E2E2E"/>
          <w:sz w:val="24"/>
          <w:szCs w:val="24"/>
        </w:rPr>
      </w:pPr>
      <w:r w:rsidRPr="00A8580F">
        <w:rPr>
          <w:rFonts w:ascii="Times New Roman" w:eastAsia="Times New Roman" w:hAnsi="Times New Roman" w:cs="Times New Roman"/>
          <w:color w:val="2E2E2E"/>
          <w:sz w:val="21"/>
          <w:szCs w:val="21"/>
        </w:rPr>
        <w:t>Table 2</w:t>
      </w:r>
      <w:r w:rsidRPr="00A8580F">
        <w:rPr>
          <w:rFonts w:ascii="Times New Roman" w:eastAsia="Times New Roman" w:hAnsi="Times New Roman" w:cs="Times New Roman"/>
          <w:color w:val="2E2E2E"/>
          <w:sz w:val="24"/>
          <w:szCs w:val="24"/>
        </w:rPr>
        <w:t>. Confusion matrix for machine learning models.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891"/>
        <w:gridCol w:w="1316"/>
        <w:gridCol w:w="1038"/>
        <w:gridCol w:w="1342"/>
        <w:gridCol w:w="1292"/>
        <w:gridCol w:w="961"/>
      </w:tblGrid>
      <w:tr w:rsidR="002E7EFA" w:rsidRPr="00A8580F" w14:paraId="1E4B01B8" w14:textId="77777777" w:rsidTr="002E7EFA">
        <w:trPr>
          <w:tblHeader/>
        </w:trPr>
        <w:tc>
          <w:tcPr>
            <w:tcW w:w="0" w:type="auto"/>
            <w:tcBorders>
              <w:bottom w:val="single" w:sz="6" w:space="0" w:color="EBEBEB"/>
              <w:right w:val="nil"/>
            </w:tcBorders>
            <w:tcMar>
              <w:top w:w="75" w:type="dxa"/>
              <w:left w:w="75" w:type="dxa"/>
              <w:bottom w:w="75" w:type="dxa"/>
              <w:right w:w="75" w:type="dxa"/>
            </w:tcMar>
            <w:hideMark/>
          </w:tcPr>
          <w:p w14:paraId="7E181C03"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Model Predictions</w:t>
            </w:r>
          </w:p>
        </w:tc>
        <w:tc>
          <w:tcPr>
            <w:tcW w:w="0" w:type="auto"/>
            <w:gridSpan w:val="5"/>
            <w:tcBorders>
              <w:bottom w:val="single" w:sz="6" w:space="0" w:color="EBEBEB"/>
              <w:right w:val="nil"/>
            </w:tcBorders>
            <w:tcMar>
              <w:top w:w="75" w:type="dxa"/>
              <w:left w:w="75" w:type="dxa"/>
              <w:bottom w:w="75" w:type="dxa"/>
              <w:right w:w="75" w:type="dxa"/>
            </w:tcMar>
            <w:hideMark/>
          </w:tcPr>
          <w:p w14:paraId="7DF79639" w14:textId="77777777" w:rsidR="002E7EFA" w:rsidRPr="00A8580F" w:rsidRDefault="002E7EFA" w:rsidP="002E7EFA">
            <w:pPr>
              <w:spacing w:after="0" w:line="240" w:lineRule="auto"/>
              <w:jc w:val="center"/>
              <w:rPr>
                <w:rFonts w:ascii="Times New Roman" w:eastAsia="Times New Roman" w:hAnsi="Times New Roman" w:cs="Times New Roman"/>
                <w:b/>
                <w:bCs/>
                <w:sz w:val="21"/>
                <w:szCs w:val="21"/>
              </w:rPr>
            </w:pPr>
            <w:r w:rsidRPr="00A8580F">
              <w:rPr>
                <w:rFonts w:ascii="Times New Roman" w:eastAsia="Times New Roman" w:hAnsi="Times New Roman" w:cs="Times New Roman"/>
                <w:b/>
                <w:bCs/>
                <w:sz w:val="21"/>
                <w:szCs w:val="21"/>
              </w:rPr>
              <w:t>Actual Behavioral States</w:t>
            </w:r>
          </w:p>
        </w:tc>
      </w:tr>
      <w:tr w:rsidR="002E7EFA" w:rsidRPr="00A8580F" w14:paraId="1BFE2F5B" w14:textId="77777777" w:rsidTr="002E7EFA">
        <w:tc>
          <w:tcPr>
            <w:tcW w:w="0" w:type="auto"/>
            <w:tcBorders>
              <w:bottom w:val="nil"/>
              <w:right w:val="nil"/>
            </w:tcBorders>
            <w:tcMar>
              <w:top w:w="75" w:type="dxa"/>
              <w:left w:w="75" w:type="dxa"/>
              <w:bottom w:w="75" w:type="dxa"/>
              <w:right w:w="75" w:type="dxa"/>
            </w:tcMar>
            <w:hideMark/>
          </w:tcPr>
          <w:p w14:paraId="3E8DB0C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b/>
                <w:bCs/>
                <w:sz w:val="21"/>
                <w:szCs w:val="21"/>
              </w:rPr>
              <w:t>SVM</w:t>
            </w:r>
          </w:p>
        </w:tc>
        <w:tc>
          <w:tcPr>
            <w:tcW w:w="0" w:type="auto"/>
            <w:tcBorders>
              <w:bottom w:val="nil"/>
              <w:right w:val="nil"/>
            </w:tcBorders>
            <w:tcMar>
              <w:top w:w="75" w:type="dxa"/>
              <w:left w:w="75" w:type="dxa"/>
              <w:bottom w:w="75" w:type="dxa"/>
              <w:right w:w="75" w:type="dxa"/>
            </w:tcMar>
            <w:hideMark/>
          </w:tcPr>
          <w:p w14:paraId="5CC4BB2E"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Light</w:t>
            </w:r>
          </w:p>
        </w:tc>
        <w:tc>
          <w:tcPr>
            <w:tcW w:w="0" w:type="auto"/>
            <w:tcBorders>
              <w:bottom w:val="nil"/>
              <w:right w:val="nil"/>
            </w:tcBorders>
            <w:tcMar>
              <w:top w:w="75" w:type="dxa"/>
              <w:left w:w="75" w:type="dxa"/>
              <w:bottom w:w="75" w:type="dxa"/>
              <w:right w:w="75" w:type="dxa"/>
            </w:tcMar>
            <w:hideMark/>
          </w:tcPr>
          <w:p w14:paraId="024DC69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Rec</w:t>
            </w:r>
          </w:p>
        </w:tc>
        <w:tc>
          <w:tcPr>
            <w:tcW w:w="0" w:type="auto"/>
            <w:tcBorders>
              <w:bottom w:val="nil"/>
              <w:right w:val="nil"/>
            </w:tcBorders>
            <w:tcMar>
              <w:top w:w="75" w:type="dxa"/>
              <w:left w:w="75" w:type="dxa"/>
              <w:bottom w:w="75" w:type="dxa"/>
              <w:right w:w="75" w:type="dxa"/>
            </w:tcMar>
            <w:hideMark/>
          </w:tcPr>
          <w:p w14:paraId="7CC7E0B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c>
          <w:tcPr>
            <w:tcW w:w="0" w:type="auto"/>
            <w:tcBorders>
              <w:bottom w:val="nil"/>
              <w:right w:val="nil"/>
            </w:tcBorders>
            <w:tcMar>
              <w:top w:w="75" w:type="dxa"/>
              <w:left w:w="75" w:type="dxa"/>
              <w:bottom w:w="75" w:type="dxa"/>
              <w:right w:w="75" w:type="dxa"/>
            </w:tcMar>
            <w:hideMark/>
          </w:tcPr>
          <w:p w14:paraId="1B04111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c>
          <w:tcPr>
            <w:tcW w:w="0" w:type="auto"/>
            <w:tcBorders>
              <w:bottom w:val="nil"/>
              <w:right w:val="nil"/>
            </w:tcBorders>
            <w:tcMar>
              <w:top w:w="75" w:type="dxa"/>
              <w:left w:w="75" w:type="dxa"/>
              <w:bottom w:w="75" w:type="dxa"/>
              <w:right w:w="75" w:type="dxa"/>
            </w:tcMar>
            <w:hideMark/>
          </w:tcPr>
          <w:p w14:paraId="060F821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HC</w:t>
            </w:r>
          </w:p>
        </w:tc>
      </w:tr>
      <w:tr w:rsidR="002E7EFA" w:rsidRPr="00A8580F" w14:paraId="7B675D8C" w14:textId="77777777" w:rsidTr="002E7EFA">
        <w:tc>
          <w:tcPr>
            <w:tcW w:w="0" w:type="auto"/>
            <w:tcBorders>
              <w:bottom w:val="nil"/>
              <w:right w:val="nil"/>
            </w:tcBorders>
            <w:tcMar>
              <w:top w:w="75" w:type="dxa"/>
              <w:left w:w="75" w:type="dxa"/>
              <w:bottom w:w="75" w:type="dxa"/>
              <w:right w:w="75" w:type="dxa"/>
            </w:tcMar>
            <w:hideMark/>
          </w:tcPr>
          <w:p w14:paraId="016B73B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Awake</w:t>
            </w:r>
          </w:p>
        </w:tc>
        <w:tc>
          <w:tcPr>
            <w:tcW w:w="0" w:type="auto"/>
            <w:tcBorders>
              <w:bottom w:val="nil"/>
              <w:right w:val="nil"/>
            </w:tcBorders>
            <w:tcMar>
              <w:top w:w="75" w:type="dxa"/>
              <w:left w:w="75" w:type="dxa"/>
              <w:bottom w:w="75" w:type="dxa"/>
              <w:right w:w="75" w:type="dxa"/>
            </w:tcMar>
            <w:hideMark/>
          </w:tcPr>
          <w:p w14:paraId="12436CD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16</w:t>
            </w:r>
          </w:p>
        </w:tc>
        <w:tc>
          <w:tcPr>
            <w:tcW w:w="0" w:type="auto"/>
            <w:tcBorders>
              <w:bottom w:val="nil"/>
              <w:right w:val="nil"/>
            </w:tcBorders>
            <w:tcMar>
              <w:top w:w="75" w:type="dxa"/>
              <w:left w:w="75" w:type="dxa"/>
              <w:bottom w:w="75" w:type="dxa"/>
              <w:right w:w="75" w:type="dxa"/>
            </w:tcMar>
            <w:hideMark/>
          </w:tcPr>
          <w:p w14:paraId="3FB3CF9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702EFA5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55473CD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28F5DE8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27</w:t>
            </w:r>
          </w:p>
        </w:tc>
      </w:tr>
      <w:tr w:rsidR="002E7EFA" w:rsidRPr="00A8580F" w14:paraId="265EFAFC" w14:textId="77777777" w:rsidTr="002E7EFA">
        <w:tc>
          <w:tcPr>
            <w:tcW w:w="0" w:type="auto"/>
            <w:tcBorders>
              <w:bottom w:val="nil"/>
              <w:right w:val="nil"/>
            </w:tcBorders>
            <w:tcMar>
              <w:top w:w="75" w:type="dxa"/>
              <w:left w:w="75" w:type="dxa"/>
              <w:bottom w:w="75" w:type="dxa"/>
              <w:right w:w="75" w:type="dxa"/>
            </w:tcMar>
            <w:hideMark/>
          </w:tcPr>
          <w:p w14:paraId="477CC90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Unresponsive</w:t>
            </w:r>
          </w:p>
        </w:tc>
        <w:tc>
          <w:tcPr>
            <w:tcW w:w="0" w:type="auto"/>
            <w:tcBorders>
              <w:bottom w:val="nil"/>
              <w:right w:val="nil"/>
            </w:tcBorders>
            <w:tcMar>
              <w:top w:w="75" w:type="dxa"/>
              <w:left w:w="75" w:type="dxa"/>
              <w:bottom w:w="75" w:type="dxa"/>
              <w:right w:w="75" w:type="dxa"/>
            </w:tcMar>
            <w:hideMark/>
          </w:tcPr>
          <w:p w14:paraId="1938230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16</w:t>
            </w:r>
          </w:p>
        </w:tc>
        <w:tc>
          <w:tcPr>
            <w:tcW w:w="0" w:type="auto"/>
            <w:tcBorders>
              <w:bottom w:val="nil"/>
              <w:right w:val="nil"/>
            </w:tcBorders>
            <w:tcMar>
              <w:top w:w="75" w:type="dxa"/>
              <w:left w:w="75" w:type="dxa"/>
              <w:bottom w:w="75" w:type="dxa"/>
              <w:right w:w="75" w:type="dxa"/>
            </w:tcMar>
            <w:hideMark/>
          </w:tcPr>
          <w:p w14:paraId="19A47A1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55ECA72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72D6A65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6</w:t>
            </w:r>
          </w:p>
        </w:tc>
        <w:tc>
          <w:tcPr>
            <w:tcW w:w="0" w:type="auto"/>
            <w:tcBorders>
              <w:bottom w:val="nil"/>
              <w:right w:val="nil"/>
            </w:tcBorders>
            <w:tcMar>
              <w:top w:w="75" w:type="dxa"/>
              <w:left w:w="75" w:type="dxa"/>
              <w:bottom w:w="75" w:type="dxa"/>
              <w:right w:w="75" w:type="dxa"/>
            </w:tcMar>
            <w:hideMark/>
          </w:tcPr>
          <w:p w14:paraId="2FB74F0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w:t>
            </w:r>
          </w:p>
        </w:tc>
      </w:tr>
      <w:tr w:rsidR="002E7EFA" w:rsidRPr="00A8580F" w14:paraId="0BAB0902" w14:textId="77777777" w:rsidTr="002E7EFA">
        <w:tc>
          <w:tcPr>
            <w:tcW w:w="0" w:type="auto"/>
            <w:tcBorders>
              <w:bottom w:val="nil"/>
              <w:right w:val="nil"/>
            </w:tcBorders>
            <w:tcMar>
              <w:top w:w="75" w:type="dxa"/>
              <w:left w:w="75" w:type="dxa"/>
              <w:bottom w:w="75" w:type="dxa"/>
              <w:right w:w="75" w:type="dxa"/>
            </w:tcMar>
            <w:hideMark/>
          </w:tcPr>
          <w:p w14:paraId="24CF67A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b/>
                <w:bCs/>
                <w:sz w:val="21"/>
                <w:szCs w:val="21"/>
              </w:rPr>
              <w:t>ET</w:t>
            </w:r>
          </w:p>
        </w:tc>
        <w:tc>
          <w:tcPr>
            <w:tcW w:w="0" w:type="auto"/>
            <w:tcBorders>
              <w:bottom w:val="nil"/>
              <w:right w:val="nil"/>
            </w:tcBorders>
            <w:tcMar>
              <w:top w:w="75" w:type="dxa"/>
              <w:left w:w="75" w:type="dxa"/>
              <w:bottom w:w="75" w:type="dxa"/>
              <w:right w:w="75" w:type="dxa"/>
            </w:tcMar>
            <w:hideMark/>
          </w:tcPr>
          <w:p w14:paraId="43C8E7F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Light</w:t>
            </w:r>
          </w:p>
        </w:tc>
        <w:tc>
          <w:tcPr>
            <w:tcW w:w="0" w:type="auto"/>
            <w:tcBorders>
              <w:bottom w:val="nil"/>
              <w:right w:val="nil"/>
            </w:tcBorders>
            <w:tcMar>
              <w:top w:w="75" w:type="dxa"/>
              <w:left w:w="75" w:type="dxa"/>
              <w:bottom w:w="75" w:type="dxa"/>
              <w:right w:w="75" w:type="dxa"/>
            </w:tcMar>
            <w:hideMark/>
          </w:tcPr>
          <w:p w14:paraId="0D777DD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Rec</w:t>
            </w:r>
          </w:p>
        </w:tc>
        <w:tc>
          <w:tcPr>
            <w:tcW w:w="0" w:type="auto"/>
            <w:tcBorders>
              <w:bottom w:val="nil"/>
              <w:right w:val="nil"/>
            </w:tcBorders>
            <w:tcMar>
              <w:top w:w="75" w:type="dxa"/>
              <w:left w:w="75" w:type="dxa"/>
              <w:bottom w:w="75" w:type="dxa"/>
              <w:right w:w="75" w:type="dxa"/>
            </w:tcMar>
            <w:hideMark/>
          </w:tcPr>
          <w:p w14:paraId="3C247BA6"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c>
          <w:tcPr>
            <w:tcW w:w="0" w:type="auto"/>
            <w:tcBorders>
              <w:bottom w:val="nil"/>
              <w:right w:val="nil"/>
            </w:tcBorders>
            <w:tcMar>
              <w:top w:w="75" w:type="dxa"/>
              <w:left w:w="75" w:type="dxa"/>
              <w:bottom w:w="75" w:type="dxa"/>
              <w:right w:w="75" w:type="dxa"/>
            </w:tcMar>
            <w:hideMark/>
          </w:tcPr>
          <w:p w14:paraId="5EA86C8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c>
          <w:tcPr>
            <w:tcW w:w="0" w:type="auto"/>
            <w:tcBorders>
              <w:bottom w:val="nil"/>
              <w:right w:val="nil"/>
            </w:tcBorders>
            <w:tcMar>
              <w:top w:w="75" w:type="dxa"/>
              <w:left w:w="75" w:type="dxa"/>
              <w:bottom w:w="75" w:type="dxa"/>
              <w:right w:w="75" w:type="dxa"/>
            </w:tcMar>
            <w:hideMark/>
          </w:tcPr>
          <w:p w14:paraId="7E57DC4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HC</w:t>
            </w:r>
          </w:p>
        </w:tc>
      </w:tr>
      <w:tr w:rsidR="002E7EFA" w:rsidRPr="00A8580F" w14:paraId="45EB1572" w14:textId="77777777" w:rsidTr="002E7EFA">
        <w:tc>
          <w:tcPr>
            <w:tcW w:w="0" w:type="auto"/>
            <w:tcBorders>
              <w:bottom w:val="nil"/>
              <w:right w:val="nil"/>
            </w:tcBorders>
            <w:tcMar>
              <w:top w:w="75" w:type="dxa"/>
              <w:left w:w="75" w:type="dxa"/>
              <w:bottom w:w="75" w:type="dxa"/>
              <w:right w:w="75" w:type="dxa"/>
            </w:tcMar>
            <w:hideMark/>
          </w:tcPr>
          <w:p w14:paraId="3B854A9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Awake</w:t>
            </w:r>
          </w:p>
        </w:tc>
        <w:tc>
          <w:tcPr>
            <w:tcW w:w="0" w:type="auto"/>
            <w:tcBorders>
              <w:bottom w:val="nil"/>
              <w:right w:val="nil"/>
            </w:tcBorders>
            <w:tcMar>
              <w:top w:w="75" w:type="dxa"/>
              <w:left w:w="75" w:type="dxa"/>
              <w:bottom w:w="75" w:type="dxa"/>
              <w:right w:w="75" w:type="dxa"/>
            </w:tcMar>
            <w:hideMark/>
          </w:tcPr>
          <w:p w14:paraId="038BA44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22</w:t>
            </w:r>
          </w:p>
        </w:tc>
        <w:tc>
          <w:tcPr>
            <w:tcW w:w="0" w:type="auto"/>
            <w:tcBorders>
              <w:bottom w:val="nil"/>
              <w:right w:val="nil"/>
            </w:tcBorders>
            <w:tcMar>
              <w:top w:w="75" w:type="dxa"/>
              <w:left w:w="75" w:type="dxa"/>
              <w:bottom w:w="75" w:type="dxa"/>
              <w:right w:w="75" w:type="dxa"/>
            </w:tcMar>
            <w:hideMark/>
          </w:tcPr>
          <w:p w14:paraId="1F290ED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052AC43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54B64CB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70AA0768"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24</w:t>
            </w:r>
          </w:p>
        </w:tc>
      </w:tr>
      <w:tr w:rsidR="002E7EFA" w:rsidRPr="00A8580F" w14:paraId="530E6013" w14:textId="77777777" w:rsidTr="002E7EFA">
        <w:tc>
          <w:tcPr>
            <w:tcW w:w="0" w:type="auto"/>
            <w:tcBorders>
              <w:bottom w:val="nil"/>
              <w:right w:val="nil"/>
            </w:tcBorders>
            <w:tcMar>
              <w:top w:w="75" w:type="dxa"/>
              <w:left w:w="75" w:type="dxa"/>
              <w:bottom w:w="75" w:type="dxa"/>
              <w:right w:w="75" w:type="dxa"/>
            </w:tcMar>
            <w:hideMark/>
          </w:tcPr>
          <w:p w14:paraId="66A2893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Unresponsive</w:t>
            </w:r>
          </w:p>
        </w:tc>
        <w:tc>
          <w:tcPr>
            <w:tcW w:w="0" w:type="auto"/>
            <w:tcBorders>
              <w:bottom w:val="nil"/>
              <w:right w:val="nil"/>
            </w:tcBorders>
            <w:tcMar>
              <w:top w:w="75" w:type="dxa"/>
              <w:left w:w="75" w:type="dxa"/>
              <w:bottom w:w="75" w:type="dxa"/>
              <w:right w:w="75" w:type="dxa"/>
            </w:tcMar>
            <w:hideMark/>
          </w:tcPr>
          <w:p w14:paraId="0476AB7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10</w:t>
            </w:r>
          </w:p>
        </w:tc>
        <w:tc>
          <w:tcPr>
            <w:tcW w:w="0" w:type="auto"/>
            <w:tcBorders>
              <w:bottom w:val="nil"/>
              <w:right w:val="nil"/>
            </w:tcBorders>
            <w:tcMar>
              <w:top w:w="75" w:type="dxa"/>
              <w:left w:w="75" w:type="dxa"/>
              <w:bottom w:w="75" w:type="dxa"/>
              <w:right w:w="75" w:type="dxa"/>
            </w:tcMar>
            <w:hideMark/>
          </w:tcPr>
          <w:p w14:paraId="579BEB2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139A61D0"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11</w:t>
            </w:r>
          </w:p>
        </w:tc>
        <w:tc>
          <w:tcPr>
            <w:tcW w:w="0" w:type="auto"/>
            <w:tcBorders>
              <w:bottom w:val="nil"/>
              <w:right w:val="nil"/>
            </w:tcBorders>
            <w:tcMar>
              <w:top w:w="75" w:type="dxa"/>
              <w:left w:w="75" w:type="dxa"/>
              <w:bottom w:w="75" w:type="dxa"/>
              <w:right w:w="75" w:type="dxa"/>
            </w:tcMar>
            <w:hideMark/>
          </w:tcPr>
          <w:p w14:paraId="24A72615"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c>
          <w:tcPr>
            <w:tcW w:w="0" w:type="auto"/>
            <w:tcBorders>
              <w:bottom w:val="nil"/>
              <w:right w:val="nil"/>
            </w:tcBorders>
            <w:tcMar>
              <w:top w:w="75" w:type="dxa"/>
              <w:left w:w="75" w:type="dxa"/>
              <w:bottom w:w="75" w:type="dxa"/>
              <w:right w:w="75" w:type="dxa"/>
            </w:tcMar>
            <w:hideMark/>
          </w:tcPr>
          <w:p w14:paraId="3B6CABF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4</w:t>
            </w:r>
          </w:p>
        </w:tc>
      </w:tr>
      <w:tr w:rsidR="002E7EFA" w:rsidRPr="00A8580F" w14:paraId="0ACD556F" w14:textId="77777777" w:rsidTr="002E7EFA">
        <w:tc>
          <w:tcPr>
            <w:tcW w:w="0" w:type="auto"/>
            <w:tcBorders>
              <w:bottom w:val="nil"/>
              <w:right w:val="nil"/>
            </w:tcBorders>
            <w:tcMar>
              <w:top w:w="75" w:type="dxa"/>
              <w:left w:w="75" w:type="dxa"/>
              <w:bottom w:w="75" w:type="dxa"/>
              <w:right w:w="75" w:type="dxa"/>
            </w:tcMar>
            <w:hideMark/>
          </w:tcPr>
          <w:p w14:paraId="698892F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b/>
                <w:bCs/>
                <w:sz w:val="21"/>
                <w:szCs w:val="21"/>
              </w:rPr>
              <w:t>ANN</w:t>
            </w:r>
          </w:p>
        </w:tc>
        <w:tc>
          <w:tcPr>
            <w:tcW w:w="0" w:type="auto"/>
            <w:tcBorders>
              <w:bottom w:val="nil"/>
              <w:right w:val="nil"/>
            </w:tcBorders>
            <w:tcMar>
              <w:top w:w="75" w:type="dxa"/>
              <w:left w:w="75" w:type="dxa"/>
              <w:bottom w:w="75" w:type="dxa"/>
              <w:right w:w="75" w:type="dxa"/>
            </w:tcMar>
            <w:hideMark/>
          </w:tcPr>
          <w:p w14:paraId="377AF44F"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Light</w:t>
            </w:r>
          </w:p>
        </w:tc>
        <w:tc>
          <w:tcPr>
            <w:tcW w:w="0" w:type="auto"/>
            <w:tcBorders>
              <w:bottom w:val="nil"/>
              <w:right w:val="nil"/>
            </w:tcBorders>
            <w:tcMar>
              <w:top w:w="75" w:type="dxa"/>
              <w:left w:w="75" w:type="dxa"/>
              <w:bottom w:w="75" w:type="dxa"/>
              <w:right w:w="75" w:type="dxa"/>
            </w:tcMar>
            <w:hideMark/>
          </w:tcPr>
          <w:p w14:paraId="02FB47BB"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Rec</w:t>
            </w:r>
          </w:p>
        </w:tc>
        <w:tc>
          <w:tcPr>
            <w:tcW w:w="0" w:type="auto"/>
            <w:tcBorders>
              <w:bottom w:val="nil"/>
              <w:right w:val="nil"/>
            </w:tcBorders>
            <w:tcMar>
              <w:top w:w="75" w:type="dxa"/>
              <w:left w:w="75" w:type="dxa"/>
              <w:bottom w:w="75" w:type="dxa"/>
              <w:right w:w="75" w:type="dxa"/>
            </w:tcMar>
            <w:hideMark/>
          </w:tcPr>
          <w:p w14:paraId="7CFB79EA"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UWS</w:t>
            </w:r>
          </w:p>
        </w:tc>
        <w:tc>
          <w:tcPr>
            <w:tcW w:w="0" w:type="auto"/>
            <w:tcBorders>
              <w:bottom w:val="nil"/>
              <w:right w:val="nil"/>
            </w:tcBorders>
            <w:tcMar>
              <w:top w:w="75" w:type="dxa"/>
              <w:left w:w="75" w:type="dxa"/>
              <w:bottom w:w="75" w:type="dxa"/>
              <w:right w:w="75" w:type="dxa"/>
            </w:tcMar>
            <w:hideMark/>
          </w:tcPr>
          <w:p w14:paraId="568113E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MCS</w:t>
            </w:r>
          </w:p>
        </w:tc>
        <w:tc>
          <w:tcPr>
            <w:tcW w:w="0" w:type="auto"/>
            <w:tcBorders>
              <w:bottom w:val="nil"/>
              <w:right w:val="nil"/>
            </w:tcBorders>
            <w:tcMar>
              <w:top w:w="75" w:type="dxa"/>
              <w:left w:w="75" w:type="dxa"/>
              <w:bottom w:w="75" w:type="dxa"/>
              <w:right w:w="75" w:type="dxa"/>
            </w:tcMar>
            <w:hideMark/>
          </w:tcPr>
          <w:p w14:paraId="30E636B4"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HC</w:t>
            </w:r>
          </w:p>
        </w:tc>
      </w:tr>
      <w:tr w:rsidR="002E7EFA" w:rsidRPr="00A8580F" w14:paraId="60084006" w14:textId="77777777" w:rsidTr="002E7EFA">
        <w:tc>
          <w:tcPr>
            <w:tcW w:w="0" w:type="auto"/>
            <w:tcBorders>
              <w:bottom w:val="nil"/>
              <w:right w:val="nil"/>
            </w:tcBorders>
            <w:tcMar>
              <w:top w:w="75" w:type="dxa"/>
              <w:left w:w="75" w:type="dxa"/>
              <w:bottom w:w="75" w:type="dxa"/>
              <w:right w:w="75" w:type="dxa"/>
            </w:tcMar>
            <w:hideMark/>
          </w:tcPr>
          <w:p w14:paraId="0253461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Awake</w:t>
            </w:r>
          </w:p>
        </w:tc>
        <w:tc>
          <w:tcPr>
            <w:tcW w:w="0" w:type="auto"/>
            <w:tcBorders>
              <w:bottom w:val="nil"/>
              <w:right w:val="nil"/>
            </w:tcBorders>
            <w:tcMar>
              <w:top w:w="75" w:type="dxa"/>
              <w:left w:w="75" w:type="dxa"/>
              <w:bottom w:w="75" w:type="dxa"/>
              <w:right w:w="75" w:type="dxa"/>
            </w:tcMar>
            <w:hideMark/>
          </w:tcPr>
          <w:p w14:paraId="4FB48DC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19</w:t>
            </w:r>
          </w:p>
        </w:tc>
        <w:tc>
          <w:tcPr>
            <w:tcW w:w="0" w:type="auto"/>
            <w:tcBorders>
              <w:bottom w:val="nil"/>
              <w:right w:val="nil"/>
            </w:tcBorders>
            <w:tcMar>
              <w:top w:w="75" w:type="dxa"/>
              <w:left w:w="75" w:type="dxa"/>
              <w:bottom w:w="75" w:type="dxa"/>
              <w:right w:w="75" w:type="dxa"/>
            </w:tcMar>
            <w:hideMark/>
          </w:tcPr>
          <w:p w14:paraId="5CAF4E87"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15</w:t>
            </w:r>
          </w:p>
        </w:tc>
        <w:tc>
          <w:tcPr>
            <w:tcW w:w="0" w:type="auto"/>
            <w:tcBorders>
              <w:bottom w:val="nil"/>
              <w:right w:val="nil"/>
            </w:tcBorders>
            <w:tcMar>
              <w:top w:w="75" w:type="dxa"/>
              <w:left w:w="75" w:type="dxa"/>
              <w:bottom w:w="75" w:type="dxa"/>
              <w:right w:w="75" w:type="dxa"/>
            </w:tcMar>
            <w:hideMark/>
          </w:tcPr>
          <w:p w14:paraId="4C6475F9"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c>
          <w:tcPr>
            <w:tcW w:w="0" w:type="auto"/>
            <w:tcBorders>
              <w:bottom w:val="nil"/>
              <w:right w:val="nil"/>
            </w:tcBorders>
            <w:tcMar>
              <w:top w:w="75" w:type="dxa"/>
              <w:left w:w="75" w:type="dxa"/>
              <w:bottom w:w="75" w:type="dxa"/>
              <w:right w:w="75" w:type="dxa"/>
            </w:tcMar>
            <w:hideMark/>
          </w:tcPr>
          <w:p w14:paraId="450E9EA2"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3</w:t>
            </w:r>
          </w:p>
        </w:tc>
        <w:tc>
          <w:tcPr>
            <w:tcW w:w="0" w:type="auto"/>
            <w:tcBorders>
              <w:bottom w:val="nil"/>
              <w:right w:val="nil"/>
            </w:tcBorders>
            <w:tcMar>
              <w:top w:w="75" w:type="dxa"/>
              <w:left w:w="75" w:type="dxa"/>
              <w:bottom w:w="75" w:type="dxa"/>
              <w:right w:w="75" w:type="dxa"/>
            </w:tcMar>
            <w:hideMark/>
          </w:tcPr>
          <w:p w14:paraId="5CE88A2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26</w:t>
            </w:r>
          </w:p>
        </w:tc>
      </w:tr>
      <w:tr w:rsidR="002E7EFA" w:rsidRPr="00A8580F" w14:paraId="31271C71" w14:textId="77777777" w:rsidTr="002E7EFA">
        <w:tc>
          <w:tcPr>
            <w:tcW w:w="0" w:type="auto"/>
            <w:tcBorders>
              <w:bottom w:val="nil"/>
              <w:right w:val="nil"/>
            </w:tcBorders>
            <w:tcMar>
              <w:top w:w="75" w:type="dxa"/>
              <w:left w:w="75" w:type="dxa"/>
              <w:bottom w:w="75" w:type="dxa"/>
              <w:right w:w="75" w:type="dxa"/>
            </w:tcMar>
            <w:hideMark/>
          </w:tcPr>
          <w:p w14:paraId="378D01D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Unresponsive</w:t>
            </w:r>
          </w:p>
        </w:tc>
        <w:tc>
          <w:tcPr>
            <w:tcW w:w="0" w:type="auto"/>
            <w:tcBorders>
              <w:bottom w:val="nil"/>
              <w:right w:val="nil"/>
            </w:tcBorders>
            <w:tcMar>
              <w:top w:w="75" w:type="dxa"/>
              <w:left w:w="75" w:type="dxa"/>
              <w:bottom w:w="75" w:type="dxa"/>
              <w:right w:w="75" w:type="dxa"/>
            </w:tcMar>
            <w:hideMark/>
          </w:tcPr>
          <w:p w14:paraId="378B8E6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13</w:t>
            </w:r>
          </w:p>
        </w:tc>
        <w:tc>
          <w:tcPr>
            <w:tcW w:w="0" w:type="auto"/>
            <w:tcBorders>
              <w:bottom w:val="nil"/>
              <w:right w:val="nil"/>
            </w:tcBorders>
            <w:tcMar>
              <w:top w:w="75" w:type="dxa"/>
              <w:left w:w="75" w:type="dxa"/>
              <w:bottom w:w="75" w:type="dxa"/>
              <w:right w:w="75" w:type="dxa"/>
            </w:tcMar>
            <w:hideMark/>
          </w:tcPr>
          <w:p w14:paraId="7FE22F2C"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0</w:t>
            </w:r>
          </w:p>
        </w:tc>
        <w:tc>
          <w:tcPr>
            <w:tcW w:w="0" w:type="auto"/>
            <w:tcBorders>
              <w:bottom w:val="nil"/>
              <w:right w:val="nil"/>
            </w:tcBorders>
            <w:tcMar>
              <w:top w:w="75" w:type="dxa"/>
              <w:left w:w="75" w:type="dxa"/>
              <w:bottom w:w="75" w:type="dxa"/>
              <w:right w:w="75" w:type="dxa"/>
            </w:tcMar>
            <w:hideMark/>
          </w:tcPr>
          <w:p w14:paraId="2338A891"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11</w:t>
            </w:r>
          </w:p>
        </w:tc>
        <w:tc>
          <w:tcPr>
            <w:tcW w:w="0" w:type="auto"/>
            <w:tcBorders>
              <w:bottom w:val="nil"/>
              <w:right w:val="nil"/>
            </w:tcBorders>
            <w:tcMar>
              <w:top w:w="75" w:type="dxa"/>
              <w:left w:w="75" w:type="dxa"/>
              <w:bottom w:w="75" w:type="dxa"/>
              <w:right w:w="75" w:type="dxa"/>
            </w:tcMar>
            <w:hideMark/>
          </w:tcPr>
          <w:p w14:paraId="4FA786A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5</w:t>
            </w:r>
          </w:p>
        </w:tc>
        <w:tc>
          <w:tcPr>
            <w:tcW w:w="0" w:type="auto"/>
            <w:tcBorders>
              <w:bottom w:val="nil"/>
              <w:right w:val="nil"/>
            </w:tcBorders>
            <w:tcMar>
              <w:top w:w="75" w:type="dxa"/>
              <w:left w:w="75" w:type="dxa"/>
              <w:bottom w:w="75" w:type="dxa"/>
              <w:right w:w="75" w:type="dxa"/>
            </w:tcMar>
            <w:hideMark/>
          </w:tcPr>
          <w:p w14:paraId="68E4EB63" w14:textId="77777777" w:rsidR="002E7EFA" w:rsidRPr="00A8580F" w:rsidRDefault="002E7EFA" w:rsidP="002E7EFA">
            <w:pPr>
              <w:spacing w:after="0" w:line="240" w:lineRule="auto"/>
              <w:rPr>
                <w:rFonts w:ascii="Times New Roman" w:eastAsia="Times New Roman" w:hAnsi="Times New Roman" w:cs="Times New Roman"/>
                <w:sz w:val="21"/>
                <w:szCs w:val="21"/>
              </w:rPr>
            </w:pPr>
            <w:r w:rsidRPr="00A8580F">
              <w:rPr>
                <w:rFonts w:ascii="Times New Roman" w:eastAsia="Times New Roman" w:hAnsi="Times New Roman" w:cs="Times New Roman"/>
                <w:sz w:val="21"/>
                <w:szCs w:val="21"/>
              </w:rPr>
              <w:t>2</w:t>
            </w:r>
          </w:p>
        </w:tc>
      </w:tr>
    </w:tbl>
    <w:p w14:paraId="447AEEF8" w14:textId="77777777" w:rsidR="002E7EFA" w:rsidRPr="00A8580F" w:rsidRDefault="002E7EFA" w:rsidP="002E7EFA">
      <w:pPr>
        <w:spacing w:line="240" w:lineRule="auto"/>
        <w:rPr>
          <w:rFonts w:ascii="Times New Roman" w:eastAsia="Times New Roman" w:hAnsi="Times New Roman" w:cs="Times New Roman"/>
          <w:color w:val="2E2E2E"/>
          <w:sz w:val="21"/>
          <w:szCs w:val="21"/>
        </w:rPr>
      </w:pPr>
      <w:r w:rsidRPr="00A8580F">
        <w:rPr>
          <w:rFonts w:ascii="Times New Roman" w:eastAsia="Times New Roman" w:hAnsi="Times New Roman" w:cs="Times New Roman"/>
          <w:color w:val="2E2E2E"/>
          <w:sz w:val="21"/>
          <w:szCs w:val="21"/>
        </w:rPr>
        <w:t>The value in each cell represents the number of subjects classified as Awake or Unresponsive across the groups not included in model training.</w:t>
      </w:r>
    </w:p>
    <w:p w14:paraId="3B2E8AB8"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Secondary analyses revealed significant differences between the MCS group and the healthy controls in the </w:t>
      </w:r>
      <w:r w:rsidRPr="00A8580F">
        <w:rPr>
          <w:rFonts w:ascii="Times New Roman" w:eastAsia="Times New Roman" w:hAnsi="Times New Roman" w:cs="Times New Roman"/>
          <w:i/>
          <w:iCs/>
          <w:color w:val="2E2E2E"/>
          <w:sz w:val="27"/>
          <w:szCs w:val="27"/>
        </w:rPr>
        <w:t>DOC</w:t>
      </w:r>
      <w:r w:rsidRPr="00A8580F">
        <w:rPr>
          <w:rFonts w:ascii="Times New Roman" w:eastAsia="Times New Roman" w:hAnsi="Times New Roman" w:cs="Times New Roman"/>
          <w:color w:val="2E2E2E"/>
          <w:sz w:val="27"/>
          <w:szCs w:val="27"/>
        </w:rPr>
        <w:t xml:space="preserve"> dataset across all three models (SVM: t(34) = 5.76, p &lt; 0.001; ET: t(34) = 5.62, p &lt; 0.001; ANN: t(34) = 2.76, p &lt; 0.05), though significant differences between the MCS group and the UWS/VS group were only identified by the ANN model (t(19) = 2.54, p &lt; 0.05). Further, we identified significant group differences between the subjects present in both the light anesthetic sedation and recovery from sedation groups for the ET and ANN models only (ET: </w:t>
      </w:r>
      <w:proofErr w:type="gramStart"/>
      <w:r w:rsidRPr="00A8580F">
        <w:rPr>
          <w:rFonts w:ascii="Times New Roman" w:eastAsia="Times New Roman" w:hAnsi="Times New Roman" w:cs="Times New Roman"/>
          <w:color w:val="2E2E2E"/>
          <w:sz w:val="27"/>
          <w:szCs w:val="27"/>
        </w:rPr>
        <w:t>t(</w:t>
      </w:r>
      <w:proofErr w:type="gramEnd"/>
      <w:r w:rsidRPr="00A8580F">
        <w:rPr>
          <w:rFonts w:ascii="Times New Roman" w:eastAsia="Times New Roman" w:hAnsi="Times New Roman" w:cs="Times New Roman"/>
          <w:color w:val="2E2E2E"/>
          <w:sz w:val="27"/>
          <w:szCs w:val="27"/>
        </w:rPr>
        <w:t>14) = 2.70, p &lt; 0.05; ANN: t(14) = 2.98, p &lt; 0.05). Given that our analysis of intermediate states had a much smaller sample size, the p values reported in this section were uncorrected.</w:t>
      </w:r>
    </w:p>
    <w:p w14:paraId="038C7A88"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Upon examination of the predicted class probabilities, we identified two MCS subjects classified as awake by all three models (patient 9 and patient 12). After reviewing the Coma Recovery Scale-Revised (CRS-R) scores for each subject we discovered that these two subjects were among the highest scoring (CRS-R = 12); high scores are associated with a greater level of consciousness. Notably, patient 9 reportedly recovered (CRS-R = 23) two months after the scanning session.</w:t>
      </w:r>
    </w:p>
    <w:p w14:paraId="3F456409"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36"/>
          <w:szCs w:val="36"/>
        </w:rPr>
        <w:t>4. Discussion</w:t>
      </w:r>
    </w:p>
    <w:p w14:paraId="641B82B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We demonstrated that the pipeline we developed—</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feature extraction, model selection, hyperparameter optimization, and cross-validation in a pharmacologic state of unconsciousness—is sufficient for constructing a robust classifier that can be applied to pathologic states of </w:t>
      </w:r>
      <w:hyperlink r:id="rId125" w:tooltip="Learn more about unconsciousness from ScienceDirect's AI-generated Topic Pages" w:history="1">
        <w:r w:rsidRPr="00A8580F">
          <w:rPr>
            <w:rFonts w:ascii="Times New Roman" w:eastAsia="Times New Roman" w:hAnsi="Times New Roman" w:cs="Times New Roman"/>
            <w:color w:val="2E2E2E"/>
            <w:sz w:val="27"/>
            <w:szCs w:val="27"/>
            <w:u w:val="single"/>
          </w:rPr>
          <w:t>unconsciousness</w:t>
        </w:r>
      </w:hyperlink>
      <w:r w:rsidRPr="00A8580F">
        <w:rPr>
          <w:rFonts w:ascii="Times New Roman" w:eastAsia="Times New Roman" w:hAnsi="Times New Roman" w:cs="Times New Roman"/>
          <w:color w:val="2E2E2E"/>
          <w:sz w:val="27"/>
          <w:szCs w:val="27"/>
        </w:rPr>
        <w:t>. Further, our finding that </w:t>
      </w:r>
      <w:hyperlink r:id="rId126" w:tooltip="Learn more about MCS from ScienceDirect's AI-generated Topic Pages" w:history="1">
        <w:r w:rsidRPr="00A8580F">
          <w:rPr>
            <w:rFonts w:ascii="Times New Roman" w:eastAsia="Times New Roman" w:hAnsi="Times New Roman" w:cs="Times New Roman"/>
            <w:color w:val="2E2E2E"/>
            <w:sz w:val="27"/>
            <w:szCs w:val="27"/>
            <w:u w:val="single"/>
          </w:rPr>
          <w:t>MCS</w:t>
        </w:r>
      </w:hyperlink>
      <w:r w:rsidRPr="00A8580F">
        <w:rPr>
          <w:rFonts w:ascii="Times New Roman" w:eastAsia="Times New Roman" w:hAnsi="Times New Roman" w:cs="Times New Roman"/>
          <w:color w:val="2E2E2E"/>
          <w:sz w:val="27"/>
          <w:szCs w:val="27"/>
        </w:rPr>
        <w:t xml:space="preserve"> patients were classified as significantly different from the healthy controls suggests that there exist detectable differences in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 xml:space="preserve">-fMRI activity during this intermediate state, and that, in principle, future models can be trained on these same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features to make graded distinctions between different levels of consciousness.</w:t>
      </w:r>
    </w:p>
    <w:p w14:paraId="0E71767A"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The examination of group differences at the level of single features derived from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activity revealed three primary conclusions. First, in line with previous studies showing the functional importance of various networks—including default-mode (</w:t>
      </w:r>
      <w:bookmarkStart w:id="97" w:name="bbib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Amico et al., 2014</w:t>
      </w:r>
      <w:r w:rsidRPr="00A8580F">
        <w:rPr>
          <w:rFonts w:ascii="Times New Roman" w:eastAsia="Times New Roman" w:hAnsi="Times New Roman" w:cs="Times New Roman"/>
          <w:color w:val="2E2E2E"/>
          <w:sz w:val="27"/>
          <w:szCs w:val="27"/>
        </w:rPr>
        <w:fldChar w:fldCharType="end"/>
      </w:r>
      <w:bookmarkEnd w:id="97"/>
      <w:r w:rsidRPr="00A8580F">
        <w:rPr>
          <w:rFonts w:ascii="Times New Roman" w:eastAsia="Times New Roman" w:hAnsi="Times New Roman" w:cs="Times New Roman"/>
          <w:color w:val="2E2E2E"/>
          <w:sz w:val="27"/>
          <w:szCs w:val="27"/>
        </w:rPr>
        <w:t>; </w:t>
      </w:r>
      <w:bookmarkStart w:id="98" w:name="bbib1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Boly</w:t>
      </w:r>
      <w:proofErr w:type="spellEnd"/>
      <w:r w:rsidRPr="00A8580F">
        <w:rPr>
          <w:rFonts w:ascii="Times New Roman" w:eastAsia="Times New Roman" w:hAnsi="Times New Roman" w:cs="Times New Roman"/>
          <w:color w:val="0C7DBB"/>
          <w:sz w:val="27"/>
          <w:szCs w:val="27"/>
          <w:u w:val="single"/>
        </w:rPr>
        <w:t xml:space="preserve"> et al., 2009</w:t>
      </w:r>
      <w:r w:rsidRPr="00A8580F">
        <w:rPr>
          <w:rFonts w:ascii="Times New Roman" w:eastAsia="Times New Roman" w:hAnsi="Times New Roman" w:cs="Times New Roman"/>
          <w:color w:val="2E2E2E"/>
          <w:sz w:val="27"/>
          <w:szCs w:val="27"/>
        </w:rPr>
        <w:fldChar w:fldCharType="end"/>
      </w:r>
      <w:bookmarkEnd w:id="98"/>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Boveroux</w:t>
      </w:r>
      <w:proofErr w:type="spellEnd"/>
      <w:r w:rsidRPr="00A8580F">
        <w:rPr>
          <w:rFonts w:ascii="Times New Roman" w:eastAsia="Times New Roman" w:hAnsi="Times New Roman" w:cs="Times New Roman"/>
          <w:color w:val="0C7DBB"/>
          <w:sz w:val="27"/>
          <w:szCs w:val="27"/>
          <w:u w:val="single"/>
        </w:rPr>
        <w:t xml:space="preserve"> et al., 2010</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99" w:name="bbib26"/>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bookmarkEnd w:id="99"/>
      <w:r w:rsidRPr="00A8580F">
        <w:rPr>
          <w:rFonts w:ascii="Times New Roman" w:eastAsia="Times New Roman" w:hAnsi="Times New Roman" w:cs="Times New Roman"/>
          <w:color w:val="2E2E2E"/>
          <w:sz w:val="27"/>
          <w:szCs w:val="27"/>
        </w:rPr>
        <w:t>; </w:t>
      </w:r>
      <w:bookmarkStart w:id="100" w:name="bbib3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Fernández-Espejo et al., 2012</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bookmarkStart w:id="101" w:name="bbib41"/>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Greicius</w:t>
      </w:r>
      <w:proofErr w:type="spellEnd"/>
      <w:r w:rsidRPr="00A8580F">
        <w:rPr>
          <w:rFonts w:ascii="Times New Roman" w:eastAsia="Times New Roman" w:hAnsi="Times New Roman" w:cs="Times New Roman"/>
          <w:color w:val="0C7DBB"/>
          <w:sz w:val="27"/>
          <w:szCs w:val="27"/>
          <w:u w:val="single"/>
        </w:rPr>
        <w:t xml:space="preserve"> et al., 2008</w:t>
      </w:r>
      <w:r w:rsidRPr="00A8580F">
        <w:rPr>
          <w:rFonts w:ascii="Times New Roman" w:eastAsia="Times New Roman" w:hAnsi="Times New Roman" w:cs="Times New Roman"/>
          <w:color w:val="2E2E2E"/>
          <w:sz w:val="27"/>
          <w:szCs w:val="27"/>
        </w:rPr>
        <w:fldChar w:fldCharType="end"/>
      </w:r>
      <w:bookmarkEnd w:id="101"/>
      <w:r w:rsidRPr="00A8580F">
        <w:rPr>
          <w:rFonts w:ascii="Times New Roman" w:eastAsia="Times New Roman" w:hAnsi="Times New Roman" w:cs="Times New Roman"/>
          <w:color w:val="2E2E2E"/>
          <w:sz w:val="27"/>
          <w:szCs w:val="27"/>
        </w:rPr>
        <w:t>; </w:t>
      </w:r>
      <w:hyperlink r:id="rId127" w:anchor="bib49" w:history="1">
        <w:r w:rsidRPr="00A8580F">
          <w:rPr>
            <w:rFonts w:ascii="Times New Roman" w:eastAsia="Times New Roman" w:hAnsi="Times New Roman" w:cs="Times New Roman"/>
            <w:color w:val="0C7DBB"/>
            <w:sz w:val="27"/>
            <w:szCs w:val="27"/>
            <w:u w:val="single"/>
          </w:rPr>
          <w:t>Huang et al., 2014</w:t>
        </w:r>
      </w:hyperlink>
      <w:bookmarkEnd w:id="47"/>
      <w:r w:rsidRPr="00A8580F">
        <w:rPr>
          <w:rFonts w:ascii="Times New Roman" w:eastAsia="Times New Roman" w:hAnsi="Times New Roman" w:cs="Times New Roman"/>
          <w:color w:val="2E2E2E"/>
          <w:sz w:val="27"/>
          <w:szCs w:val="27"/>
        </w:rPr>
        <w:t>; </w:t>
      </w:r>
      <w:bookmarkStart w:id="102" w:name="bbib52"/>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Kasahara et al., 2010</w:t>
      </w:r>
      <w:r w:rsidRPr="00A8580F">
        <w:rPr>
          <w:rFonts w:ascii="Times New Roman" w:eastAsia="Times New Roman" w:hAnsi="Times New Roman" w:cs="Times New Roman"/>
          <w:color w:val="2E2E2E"/>
          <w:sz w:val="27"/>
          <w:szCs w:val="27"/>
        </w:rPr>
        <w:fldChar w:fldCharType="end"/>
      </w:r>
      <w:bookmarkEnd w:id="102"/>
      <w:r w:rsidRPr="00A8580F">
        <w:rPr>
          <w:rFonts w:ascii="Times New Roman" w:eastAsia="Times New Roman" w:hAnsi="Times New Roman" w:cs="Times New Roman"/>
          <w:color w:val="2E2E2E"/>
          <w:sz w:val="27"/>
          <w:szCs w:val="27"/>
        </w:rPr>
        <w:t>; </w:t>
      </w:r>
      <w:hyperlink r:id="rId128" w:anchor="bib67" w:history="1">
        <w:r w:rsidRPr="00A8580F">
          <w:rPr>
            <w:rFonts w:ascii="Times New Roman" w:eastAsia="Times New Roman" w:hAnsi="Times New Roman" w:cs="Times New Roman"/>
            <w:color w:val="0C7DBB"/>
            <w:sz w:val="27"/>
            <w:szCs w:val="27"/>
            <w:u w:val="single"/>
          </w:rPr>
          <w:t>Monti et al., 2010</w:t>
        </w:r>
      </w:hyperlink>
      <w:bookmarkEnd w:id="4"/>
      <w:r w:rsidRPr="00A8580F">
        <w:rPr>
          <w:rFonts w:ascii="Times New Roman" w:eastAsia="Times New Roman" w:hAnsi="Times New Roman" w:cs="Times New Roman"/>
          <w:color w:val="2E2E2E"/>
          <w:sz w:val="27"/>
          <w:szCs w:val="27"/>
        </w:rPr>
        <w:t>; </w:t>
      </w:r>
      <w:bookmarkStart w:id="103" w:name="bbib70"/>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Norton et al., 2012</w:t>
      </w:r>
      <w:r w:rsidRPr="00A8580F">
        <w:rPr>
          <w:rFonts w:ascii="Times New Roman" w:eastAsia="Times New Roman" w:hAnsi="Times New Roman" w:cs="Times New Roman"/>
          <w:color w:val="2E2E2E"/>
          <w:sz w:val="27"/>
          <w:szCs w:val="27"/>
        </w:rPr>
        <w:fldChar w:fldCharType="end"/>
      </w:r>
      <w:bookmarkEnd w:id="103"/>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"bib79"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Roquet</w:t>
      </w:r>
      <w:proofErr w:type="spellEnd"/>
      <w:r w:rsidRPr="00A8580F">
        <w:rPr>
          <w:rFonts w:ascii="Times New Roman" w:eastAsia="Times New Roman" w:hAnsi="Times New Roman" w:cs="Times New Roman"/>
          <w:color w:val="0C7DBB"/>
          <w:sz w:val="27"/>
          <w:szCs w:val="27"/>
          <w:u w:val="single"/>
        </w:rPr>
        <w:t xml:space="preserve"> et al., 2016</w:t>
      </w:r>
      <w:r w:rsidRPr="00A8580F">
        <w:rPr>
          <w:rFonts w:ascii="Times New Roman" w:eastAsia="Times New Roman" w:hAnsi="Times New Roman" w:cs="Times New Roman"/>
          <w:color w:val="2E2E2E"/>
          <w:sz w:val="27"/>
          <w:szCs w:val="27"/>
        </w:rPr>
        <w:fldChar w:fldCharType="end"/>
      </w:r>
      <w:bookmarkEnd w:id="32"/>
      <w:r w:rsidRPr="00A8580F">
        <w:rPr>
          <w:rFonts w:ascii="Times New Roman" w:eastAsia="Times New Roman" w:hAnsi="Times New Roman" w:cs="Times New Roman"/>
          <w:color w:val="2E2E2E"/>
          <w:sz w:val="27"/>
          <w:szCs w:val="27"/>
        </w:rPr>
        <w:t>), frontoparietal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Boveroux</w:t>
      </w:r>
      <w:proofErr w:type="spellEnd"/>
      <w:r w:rsidRPr="00A8580F">
        <w:rPr>
          <w:rFonts w:ascii="Times New Roman" w:eastAsia="Times New Roman" w:hAnsi="Times New Roman" w:cs="Times New Roman"/>
          <w:color w:val="0C7DBB"/>
          <w:sz w:val="27"/>
          <w:szCs w:val="27"/>
          <w:u w:val="single"/>
        </w:rPr>
        <w:t xml:space="preserve"> et al., 2010</w:t>
      </w:r>
      <w:r w:rsidRPr="00A8580F">
        <w:rPr>
          <w:rFonts w:ascii="Times New Roman" w:eastAsia="Times New Roman" w:hAnsi="Times New Roman" w:cs="Times New Roman"/>
          <w:color w:val="2E2E2E"/>
          <w:sz w:val="27"/>
          <w:szCs w:val="27"/>
        </w:rPr>
        <w:fldChar w:fldCharType="end"/>
      </w:r>
      <w:bookmarkEnd w:id="28"/>
      <w:r w:rsidRPr="00A8580F">
        <w:rPr>
          <w:rFonts w:ascii="Times New Roman" w:eastAsia="Times New Roman" w:hAnsi="Times New Roman" w:cs="Times New Roman"/>
          <w:color w:val="2E2E2E"/>
          <w:sz w:val="27"/>
          <w:szCs w:val="27"/>
        </w:rPr>
        <w:t>), and salience (</w:t>
      </w:r>
      <w:bookmarkStart w:id="104" w:name="bbib42"/>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"bib42"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Guldenmund</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104"/>
      <w:r w:rsidRPr="00A8580F">
        <w:rPr>
          <w:rFonts w:ascii="Times New Roman" w:eastAsia="Times New Roman" w:hAnsi="Times New Roman" w:cs="Times New Roman"/>
          <w:color w:val="2E2E2E"/>
          <w:sz w:val="27"/>
          <w:szCs w:val="27"/>
        </w:rPr>
        <w:t>; </w:t>
      </w:r>
      <w:bookmarkStart w:id="105" w:name="bbib77"/>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"bib77"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Qin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)—on the level of consciousness, we observed significantly reduced amplitude of low frequency fluctuations in those networks for both anesthesia and </w:t>
      </w:r>
      <w:hyperlink r:id="rId129" w:tooltip="Learn more about DOC from ScienceDirect's AI-generated Topic Pages" w:history="1">
        <w:r w:rsidRPr="00A8580F">
          <w:rPr>
            <w:rFonts w:ascii="Times New Roman" w:eastAsia="Times New Roman" w:hAnsi="Times New Roman" w:cs="Times New Roman"/>
            <w:color w:val="2E2E2E"/>
            <w:sz w:val="27"/>
            <w:szCs w:val="27"/>
            <w:u w:val="single"/>
          </w:rPr>
          <w:t>DOC</w:t>
        </w:r>
      </w:hyperlink>
      <w:r w:rsidRPr="00A8580F">
        <w:rPr>
          <w:rFonts w:ascii="Times New Roman" w:eastAsia="Times New Roman" w:hAnsi="Times New Roman" w:cs="Times New Roman"/>
          <w:color w:val="2E2E2E"/>
          <w:sz w:val="27"/>
          <w:szCs w:val="27"/>
        </w:rPr>
        <w:t> data. We also identified consciousness-dependent breakdown of </w:t>
      </w:r>
      <w:hyperlink r:id="rId130" w:tooltip="Learn more about functional connectivity from ScienceDirect's AI-generated Topic Pages" w:history="1">
        <w:r w:rsidRPr="00A8580F">
          <w:rPr>
            <w:rFonts w:ascii="Times New Roman" w:eastAsia="Times New Roman" w:hAnsi="Times New Roman" w:cs="Times New Roman"/>
            <w:color w:val="2E2E2E"/>
            <w:sz w:val="27"/>
            <w:szCs w:val="27"/>
            <w:u w:val="single"/>
          </w:rPr>
          <w:t>functional connectivity</w:t>
        </w:r>
      </w:hyperlink>
      <w:r w:rsidRPr="00A8580F">
        <w:rPr>
          <w:rFonts w:ascii="Times New Roman" w:eastAsia="Times New Roman" w:hAnsi="Times New Roman" w:cs="Times New Roman"/>
          <w:color w:val="2E2E2E"/>
          <w:sz w:val="27"/>
          <w:szCs w:val="27"/>
        </w:rPr>
        <w:t xml:space="preserve"> involving various cross-network functional </w:t>
      </w:r>
      <w:proofErr w:type="spellStart"/>
      <w:r w:rsidRPr="00A8580F">
        <w:rPr>
          <w:rFonts w:ascii="Times New Roman" w:eastAsia="Times New Roman" w:hAnsi="Times New Roman" w:cs="Times New Roman"/>
          <w:color w:val="2E2E2E"/>
          <w:sz w:val="27"/>
          <w:szCs w:val="27"/>
        </w:rPr>
        <w:t>connectivities</w:t>
      </w:r>
      <w:proofErr w:type="spellEnd"/>
      <w:r w:rsidRPr="00A8580F">
        <w:rPr>
          <w:rFonts w:ascii="Times New Roman" w:eastAsia="Times New Roman" w:hAnsi="Times New Roman" w:cs="Times New Roman"/>
          <w:color w:val="2E2E2E"/>
          <w:sz w:val="27"/>
          <w:szCs w:val="27"/>
        </w:rPr>
        <w:t>. This is consistent with a role for cross-modal connectivity in consciousness via </w:t>
      </w:r>
      <w:hyperlink r:id="rId131" w:tooltip="Learn more about multisensory integration from ScienceDirect's AI-generated Topic Pages" w:history="1">
        <w:r w:rsidRPr="00A8580F">
          <w:rPr>
            <w:rFonts w:ascii="Times New Roman" w:eastAsia="Times New Roman" w:hAnsi="Times New Roman" w:cs="Times New Roman"/>
            <w:color w:val="2E2E2E"/>
            <w:sz w:val="27"/>
            <w:szCs w:val="27"/>
            <w:u w:val="single"/>
          </w:rPr>
          <w:t>multisensory integration</w:t>
        </w:r>
      </w:hyperlink>
      <w:r w:rsidRPr="00A8580F">
        <w:rPr>
          <w:rFonts w:ascii="Times New Roman" w:eastAsia="Times New Roman" w:hAnsi="Times New Roman" w:cs="Times New Roman"/>
          <w:color w:val="2E2E2E"/>
          <w:sz w:val="27"/>
          <w:szCs w:val="27"/>
        </w:rPr>
        <w:t> and top–down processes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xml:space="preserve">). Second, several features </w:t>
      </w:r>
      <w:r w:rsidRPr="00A8580F">
        <w:rPr>
          <w:rFonts w:ascii="Times New Roman" w:eastAsia="Times New Roman" w:hAnsi="Times New Roman" w:cs="Times New Roman"/>
          <w:color w:val="2E2E2E"/>
          <w:sz w:val="27"/>
          <w:szCs w:val="27"/>
        </w:rPr>
        <w:lastRenderedPageBreak/>
        <w:t>performed well as a model-free univariate classifier, discriminating between awake and unresponsive groups most of the time with a high degree of accuracy (e.g., connectivity between the cinguloopercular task control network and </w:t>
      </w:r>
      <w:hyperlink r:id="rId132" w:tooltip="Learn more about dorsal attention network from ScienceDirect's AI-generated Topic Pages" w:history="1">
        <w:r w:rsidRPr="00A8580F">
          <w:rPr>
            <w:rFonts w:ascii="Times New Roman" w:eastAsia="Times New Roman" w:hAnsi="Times New Roman" w:cs="Times New Roman"/>
            <w:color w:val="2E2E2E"/>
            <w:sz w:val="27"/>
            <w:szCs w:val="27"/>
            <w:u w:val="single"/>
          </w:rPr>
          <w:t>dorsal attention network</w:t>
        </w:r>
      </w:hyperlink>
      <w:r w:rsidRPr="00A8580F">
        <w:rPr>
          <w:rFonts w:ascii="Times New Roman" w:eastAsia="Times New Roman" w:hAnsi="Times New Roman" w:cs="Times New Roman"/>
          <w:color w:val="2E2E2E"/>
          <w:sz w:val="27"/>
          <w:szCs w:val="27"/>
        </w:rPr>
        <w:t xml:space="preserve">, COTC-DA; within-dataset AUC: 0.74, cross-dataset AUC: 0.82), whereas others performed near chance-level (i.e., most </w:t>
      </w:r>
      <w:proofErr w:type="spellStart"/>
      <w:r w:rsidRPr="00A8580F">
        <w:rPr>
          <w:rFonts w:ascii="Times New Roman" w:eastAsia="Times New Roman" w:hAnsi="Times New Roman" w:cs="Times New Roman"/>
          <w:color w:val="2E2E2E"/>
          <w:sz w:val="27"/>
          <w:szCs w:val="27"/>
        </w:rPr>
        <w:t>ReHo</w:t>
      </w:r>
      <w:proofErr w:type="spellEnd"/>
      <w:r w:rsidRPr="00A8580F">
        <w:rPr>
          <w:rFonts w:ascii="Times New Roman" w:eastAsia="Times New Roman" w:hAnsi="Times New Roman" w:cs="Times New Roman"/>
          <w:color w:val="2E2E2E"/>
          <w:sz w:val="27"/>
          <w:szCs w:val="27"/>
        </w:rPr>
        <w:t>-based features). Third, we discovered many features that performed inconsistently between the anesthesia and DOC datasets. This observed pattern of inconsistency suggests that some features may not be generalizable across datasets or linked to unconsciousness, per se, but rather might be an indicator of some other detectable change in neural activity during anesthetic-induced unconsciousness (or pathologically-induced unconsciousness).</w:t>
      </w:r>
    </w:p>
    <w:p w14:paraId="31DAE64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In the past few years, an increasing cohort of studies has applied machine learning methods to examine the diagnostic value of imaging data in patients suffering from disorders of consciousness. A range of neuroimaging techniques have been utilized in this research area, including fMRI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hyperlink r:id="rId133" w:tooltip="Learn more about fluorodeoxyglucose from ScienceDirect's AI-generated Topic Pages" w:history="1">
        <w:r w:rsidRPr="00A8580F">
          <w:rPr>
            <w:rFonts w:ascii="Times New Roman" w:eastAsia="Times New Roman" w:hAnsi="Times New Roman" w:cs="Times New Roman"/>
            <w:color w:val="2E2E2E"/>
            <w:sz w:val="27"/>
            <w:szCs w:val="27"/>
            <w:u w:val="single"/>
          </w:rPr>
          <w:t>fluorodeoxyglucose</w:t>
        </w:r>
      </w:hyperlink>
      <w:r w:rsidRPr="00A8580F">
        <w:rPr>
          <w:rFonts w:ascii="Times New Roman" w:eastAsia="Times New Roman" w:hAnsi="Times New Roman" w:cs="Times New Roman"/>
          <w:color w:val="2E2E2E"/>
          <w:sz w:val="27"/>
          <w:szCs w:val="27"/>
        </w:rPr>
        <w:t> </w:t>
      </w:r>
      <w:hyperlink r:id="rId134" w:tooltip="Learn more about positron emission tomography from ScienceDirect's AI-generated Topic Pages" w:history="1">
        <w:r w:rsidRPr="00A8580F">
          <w:rPr>
            <w:rFonts w:ascii="Times New Roman" w:eastAsia="Times New Roman" w:hAnsi="Times New Roman" w:cs="Times New Roman"/>
            <w:color w:val="2E2E2E"/>
            <w:sz w:val="27"/>
            <w:szCs w:val="27"/>
            <w:u w:val="single"/>
          </w:rPr>
          <w:t>positron emission tomography</w:t>
        </w:r>
      </w:hyperlink>
      <w:r w:rsidRPr="00A8580F">
        <w:rPr>
          <w:rFonts w:ascii="Times New Roman" w:eastAsia="Times New Roman" w:hAnsi="Times New Roman" w:cs="Times New Roman"/>
          <w:color w:val="2E2E2E"/>
          <w:sz w:val="27"/>
          <w:szCs w:val="27"/>
        </w:rPr>
        <w:t> (FDG-PET) (</w:t>
      </w:r>
      <w:hyperlink r:id="rId135" w:anchor="bib75" w:history="1">
        <w:r w:rsidRPr="00A8580F">
          <w:rPr>
            <w:rFonts w:ascii="Times New Roman" w:eastAsia="Times New Roman" w:hAnsi="Times New Roman" w:cs="Times New Roman"/>
            <w:color w:val="0C7DBB"/>
            <w:sz w:val="27"/>
            <w:szCs w:val="27"/>
            <w:u w:val="single"/>
          </w:rPr>
          <w:t>Phillips et al., 2011</w:t>
        </w:r>
      </w:hyperlink>
      <w:r w:rsidRPr="00A8580F">
        <w:rPr>
          <w:rFonts w:ascii="Times New Roman" w:eastAsia="Times New Roman" w:hAnsi="Times New Roman" w:cs="Times New Roman"/>
          <w:color w:val="2E2E2E"/>
          <w:sz w:val="27"/>
          <w:szCs w:val="27"/>
        </w:rPr>
        <w:t>), and EEG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Chennu</w:t>
      </w:r>
      <w:proofErr w:type="spellEnd"/>
      <w:r w:rsidRPr="00A8580F">
        <w:rPr>
          <w:rFonts w:ascii="Times New Roman" w:eastAsia="Times New Roman" w:hAnsi="Times New Roman" w:cs="Times New Roman"/>
          <w:color w:val="0C7DBB"/>
          <w:sz w:val="27"/>
          <w:szCs w:val="27"/>
          <w:u w:val="single"/>
        </w:rPr>
        <w:t xml:space="preserve"> et al., 2017</w:t>
      </w:r>
      <w:r w:rsidRPr="00A8580F">
        <w:rPr>
          <w:rFonts w:ascii="Times New Roman" w:eastAsia="Times New Roman" w:hAnsi="Times New Roman" w:cs="Times New Roman"/>
          <w:color w:val="2E2E2E"/>
          <w:sz w:val="27"/>
          <w:szCs w:val="27"/>
        </w:rPr>
        <w:fldChar w:fldCharType="end"/>
      </w:r>
      <w:bookmarkEnd w:id="75"/>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Sitt</w:t>
      </w:r>
      <w:proofErr w:type="spellEnd"/>
      <w:r w:rsidRPr="00A8580F">
        <w:rPr>
          <w:rFonts w:ascii="Times New Roman" w:eastAsia="Times New Roman" w:hAnsi="Times New Roman" w:cs="Times New Roman"/>
          <w:color w:val="0C7DBB"/>
          <w:sz w:val="27"/>
          <w:szCs w:val="27"/>
          <w:u w:val="single"/>
        </w:rPr>
        <w:t xml:space="preserve"> et al., 2014</w:t>
      </w:r>
      <w:r w:rsidRPr="00A8580F">
        <w:rPr>
          <w:rFonts w:ascii="Times New Roman" w:eastAsia="Times New Roman" w:hAnsi="Times New Roman" w:cs="Times New Roman"/>
          <w:color w:val="2E2E2E"/>
          <w:sz w:val="27"/>
          <w:szCs w:val="27"/>
        </w:rPr>
        <w:fldChar w:fldCharType="end"/>
      </w:r>
      <w:bookmarkEnd w:id="38"/>
      <w:r w:rsidRPr="00A8580F">
        <w:rPr>
          <w:rFonts w:ascii="Times New Roman" w:eastAsia="Times New Roman" w:hAnsi="Times New Roman" w:cs="Times New Roman"/>
          <w:color w:val="2E2E2E"/>
          <w:sz w:val="27"/>
          <w:szCs w:val="27"/>
        </w:rPr>
        <w:t>; </w:t>
      </w:r>
      <w:bookmarkStart w:id="106" w:name="bbib9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"bib94"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van den Brink et al., 2018</w:t>
      </w:r>
      <w:r w:rsidRPr="00A8580F">
        <w:rPr>
          <w:rFonts w:ascii="Times New Roman" w:eastAsia="Times New Roman" w:hAnsi="Times New Roman" w:cs="Times New Roman"/>
          <w:color w:val="2E2E2E"/>
          <w:sz w:val="27"/>
          <w:szCs w:val="27"/>
        </w:rPr>
        <w:fldChar w:fldCharType="end"/>
      </w:r>
      <w:bookmarkEnd w:id="106"/>
      <w:r w:rsidRPr="00A8580F">
        <w:rPr>
          <w:rFonts w:ascii="Times New Roman" w:eastAsia="Times New Roman" w:hAnsi="Times New Roman" w:cs="Times New Roman"/>
          <w:color w:val="2E2E2E"/>
          <w:sz w:val="27"/>
          <w:szCs w:val="27"/>
        </w:rPr>
        <w:t>). It is noteworthy that, among the studies mentioned, resting state network-based fMRI could achieve a high discriminative accuracy (&gt;80%) when distinguishing MCS from UWS patients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Demertzi</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35"/>
      <w:r w:rsidRPr="00A8580F">
        <w:rPr>
          <w:rFonts w:ascii="Times New Roman" w:eastAsia="Times New Roman" w:hAnsi="Times New Roman" w:cs="Times New Roman"/>
          <w:color w:val="2E2E2E"/>
          <w:sz w:val="27"/>
          <w:szCs w:val="27"/>
        </w:rPr>
        <w:t>). In our study, instead of training the classifier to make distinctions between MCS and UWS patients, we tested whether pharmacologic states of unconsciousness could have predictive value that generalized to pathologic states of unconsciousness (i.e., UWS patients). Accordingly, our classifiers were successful in separating conscious from unconscious subjects (&gt;90%), a level of performance analogous to a prior FDG-PET study that reported a 100% classification accuracy when distinguishing locked-in patients from UWS patients (</w:t>
      </w:r>
      <w:hyperlink r:id="rId136" w:anchor="bib75" w:history="1">
        <w:r w:rsidRPr="00A8580F">
          <w:rPr>
            <w:rFonts w:ascii="Times New Roman" w:eastAsia="Times New Roman" w:hAnsi="Times New Roman" w:cs="Times New Roman"/>
            <w:color w:val="0C7DBB"/>
            <w:sz w:val="27"/>
            <w:szCs w:val="27"/>
            <w:u w:val="single"/>
          </w:rPr>
          <w:t>Phillips et al., 2011</w:t>
        </w:r>
      </w:hyperlink>
      <w:bookmarkEnd w:id="37"/>
      <w:r w:rsidRPr="00A8580F">
        <w:rPr>
          <w:rFonts w:ascii="Times New Roman" w:eastAsia="Times New Roman" w:hAnsi="Times New Roman" w:cs="Times New Roman"/>
          <w:color w:val="2E2E2E"/>
          <w:sz w:val="27"/>
          <w:szCs w:val="27"/>
        </w:rPr>
        <w:t>). Taken together, it seems feasible that machine learning approaches can be harnessed as tools to distinguish conscious from unconscious states. However, the classification of intermediate states (e.g., light sedation, MCS) remains challenging for several reasons. First, intermediate states of consciousness are ill defined if one conceives of consciousness as an all-or-none phenomenon. Second, the considerable inter-subject variability observed during sedation and MCS may necessitate larger sample sizes used for training machine learning models. Here, we applied a different strategy to test intermediate state classification, namely training models to distinguish consciousness from unconsciousness, and making predictions on unseen intermediate state data. Although our results of intermediate states classification were exploratory, they suggest that this pipeline could have clinical relevance if developed further.</w:t>
      </w:r>
    </w:p>
    <w:p w14:paraId="35C2432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 three candidate machine learning models we evaluated in the study—support vector machine (SVM), </w:t>
      </w:r>
      <w:r w:rsidRPr="00A8580F">
        <w:rPr>
          <w:rFonts w:ascii="Times New Roman" w:eastAsia="Times New Roman" w:hAnsi="Times New Roman" w:cs="Times New Roman"/>
          <w:i/>
          <w:iCs/>
          <w:color w:val="2E2E2E"/>
          <w:sz w:val="27"/>
          <w:szCs w:val="27"/>
        </w:rPr>
        <w:t>Extra Trees</w:t>
      </w:r>
      <w:r w:rsidRPr="00A8580F">
        <w:rPr>
          <w:rFonts w:ascii="Times New Roman" w:eastAsia="Times New Roman" w:hAnsi="Times New Roman" w:cs="Times New Roman"/>
          <w:color w:val="2E2E2E"/>
          <w:sz w:val="27"/>
          <w:szCs w:val="27"/>
        </w:rPr>
        <w:t> (ET), and an </w:t>
      </w:r>
      <w:hyperlink r:id="rId137" w:tooltip="Learn more about artificial neural network from ScienceDirect's AI-generated Topic Pages" w:history="1">
        <w:r w:rsidRPr="00A8580F">
          <w:rPr>
            <w:rFonts w:ascii="Times New Roman" w:eastAsia="Times New Roman" w:hAnsi="Times New Roman" w:cs="Times New Roman"/>
            <w:color w:val="2E2E2E"/>
            <w:sz w:val="27"/>
            <w:szCs w:val="27"/>
            <w:u w:val="single"/>
          </w:rPr>
          <w:t>artificial neural network</w:t>
        </w:r>
      </w:hyperlink>
      <w:r w:rsidRPr="00A8580F">
        <w:rPr>
          <w:rFonts w:ascii="Times New Roman" w:eastAsia="Times New Roman" w:hAnsi="Times New Roman" w:cs="Times New Roman"/>
          <w:color w:val="2E2E2E"/>
          <w:sz w:val="27"/>
          <w:szCs w:val="27"/>
        </w:rPr>
        <w:t xml:space="preserve"> (ANN)—were chosen because of their growing popularity within the neuroimaging community and markedly distinct approach to classification. After training, each of the models </w:t>
      </w:r>
      <w:r w:rsidRPr="00A8580F">
        <w:rPr>
          <w:rFonts w:ascii="Times New Roman" w:eastAsia="Times New Roman" w:hAnsi="Times New Roman" w:cs="Times New Roman"/>
          <w:color w:val="2E2E2E"/>
          <w:sz w:val="27"/>
          <w:szCs w:val="27"/>
        </w:rPr>
        <w:lastRenderedPageBreak/>
        <w:t>tested achieved a notably high level of performance (AUC&gt;0.95, both within- and cross-dataset). Thus, we find it reasonable to conclude that any of these models would likely be a suitable classifier for similar tasks.</w:t>
      </w:r>
    </w:p>
    <w:p w14:paraId="78983DC9"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Of interest, we observed near-identical performance on the validation dataset (DOC) compared to the training dataset (Anesthesia). The high performance observed across both datasets suggests that distinguishing conscious from unconscious states (using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features) was a relatively simple, straightforward classification. Our analysis of feature-level differences between these two states shows an often clear separation between these two groups (</w:t>
      </w:r>
      <w:hyperlink r:id="rId138" w:anchor="fig4" w:history="1">
        <w:r w:rsidRPr="00A8580F">
          <w:rPr>
            <w:rFonts w:ascii="Times New Roman" w:eastAsia="Times New Roman" w:hAnsi="Times New Roman" w:cs="Times New Roman"/>
            <w:color w:val="0C7DBB"/>
            <w:sz w:val="27"/>
            <w:szCs w:val="27"/>
            <w:u w:val="single"/>
          </w:rPr>
          <w:t>Fig. 4</w:t>
        </w:r>
      </w:hyperlink>
      <w:bookmarkEnd w:id="87"/>
      <w:r w:rsidRPr="00A8580F">
        <w:rPr>
          <w:rFonts w:ascii="Times New Roman" w:eastAsia="Times New Roman" w:hAnsi="Times New Roman" w:cs="Times New Roman"/>
          <w:color w:val="2E2E2E"/>
          <w:sz w:val="27"/>
          <w:szCs w:val="27"/>
        </w:rPr>
        <w:t>), an observation further supported by the high performance of the univariate classifiers—achieving an AUC as high as 0.87 on the DOC data (i.e., FPTC ALFF) and 0.81 on the Anesthesia data (i.e., SS-VIS between network connectivity).</w:t>
      </w:r>
    </w:p>
    <w:p w14:paraId="03872E73"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There are, however, important considerations that may influence the process of model selection. First, the deep-learning based ANN was by far the most computationally demanding when it came to model training (a consequence of the backpropagation algorithm, which involves many repeated train-test epochs; see </w:t>
      </w:r>
      <w:proofErr w:type="spellStart"/>
      <w:r w:rsidRPr="00A8580F">
        <w:rPr>
          <w:rFonts w:ascii="Times New Roman" w:eastAsia="Times New Roman" w:hAnsi="Times New Roman" w:cs="Times New Roman"/>
          <w:i/>
          <w:iCs/>
          <w:color w:val="2E2E2E"/>
          <w:sz w:val="27"/>
          <w:szCs w:val="27"/>
        </w:rPr>
        <w:t>Keras</w:t>
      </w:r>
      <w:proofErr w:type="spellEnd"/>
      <w:r w:rsidRPr="00A8580F">
        <w:rPr>
          <w:rFonts w:ascii="Times New Roman" w:eastAsia="Times New Roman" w:hAnsi="Times New Roman" w:cs="Times New Roman"/>
          <w:color w:val="2E2E2E"/>
          <w:sz w:val="27"/>
          <w:szCs w:val="27"/>
        </w:rPr>
        <w:t> documentation for a thorough review, </w:t>
      </w:r>
      <w:hyperlink r:id="rId139" w:tgtFrame="_blank" w:history="1">
        <w:r w:rsidRPr="00A8580F">
          <w:rPr>
            <w:rFonts w:ascii="Times New Roman" w:eastAsia="Times New Roman" w:hAnsi="Times New Roman" w:cs="Times New Roman"/>
            <w:color w:val="0C7DBB"/>
            <w:sz w:val="27"/>
            <w:szCs w:val="27"/>
            <w:u w:val="single"/>
          </w:rPr>
          <w:t>https://keras.io</w:t>
        </w:r>
      </w:hyperlink>
      <w:r w:rsidRPr="00A8580F">
        <w:rPr>
          <w:rFonts w:ascii="Times New Roman" w:eastAsia="Times New Roman" w:hAnsi="Times New Roman" w:cs="Times New Roman"/>
          <w:color w:val="2E2E2E"/>
          <w:sz w:val="27"/>
          <w:szCs w:val="27"/>
        </w:rPr>
        <w:t>), and most likely to overfit given a limited sample size. In contrast, whereas the SVM was simplest and efficient to construct, our analysis of the models before and after hyperparameter optimization revealed that the SVM was also most sensitive to hyperparameter choice. Though SVM is often used because of its relative simplicity, this illustrates that care should be taken to observe the ways in which SVM performance may change dramatically as a result of how it is constructed prior to training.</w:t>
      </w:r>
    </w:p>
    <w:p w14:paraId="740DB0F0"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For these reasons, we believe the ET model to be a good compromise between the two—offering a good balance of computational efficiency, ease of construction, and general reliability. Finally, there is an added advantage for decision-tree-based models in particular, namely the ability to perform a post-hoc analysis of feature importance, which may help to inform feature selection in future studies. Our recommendation of this particular model is in line with other related research evaluating the ET’s ability to classify DOC patients by analyzing a wide range of distinct EEG-derived features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"bib32"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Engemann</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bookmarkEnd w:id="36"/>
      <w:r w:rsidRPr="00A8580F">
        <w:rPr>
          <w:rFonts w:ascii="Times New Roman" w:eastAsia="Times New Roman" w:hAnsi="Times New Roman" w:cs="Times New Roman"/>
          <w:color w:val="2E2E2E"/>
          <w:sz w:val="27"/>
          <w:szCs w:val="27"/>
        </w:rPr>
        <w:t>).</w:t>
      </w:r>
    </w:p>
    <w:p w14:paraId="4C49EC1C"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As part of our machine learning pipeline, we explored the relatively novel approach to hyperparameter tuning, namely automated optimization via </w:t>
      </w:r>
      <w:proofErr w:type="spellStart"/>
      <w:r w:rsidRPr="00A8580F">
        <w:rPr>
          <w:rFonts w:ascii="Times New Roman" w:eastAsia="Times New Roman" w:hAnsi="Times New Roman" w:cs="Times New Roman"/>
          <w:i/>
          <w:iCs/>
          <w:color w:val="2E2E2E"/>
          <w:sz w:val="27"/>
          <w:szCs w:val="27"/>
        </w:rPr>
        <w:t>Hyperopt-sklearn</w:t>
      </w:r>
      <w:proofErr w:type="spellEnd"/>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"bib11"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Bergstra</w:t>
      </w:r>
      <w:proofErr w:type="spellEnd"/>
      <w:r w:rsidRPr="00A8580F">
        <w:rPr>
          <w:rFonts w:ascii="Times New Roman" w:eastAsia="Times New Roman" w:hAnsi="Times New Roman" w:cs="Times New Roman"/>
          <w:color w:val="0C7DBB"/>
          <w:sz w:val="27"/>
          <w:szCs w:val="27"/>
          <w:u w:val="single"/>
        </w:rPr>
        <w:t xml:space="preserve"> et al., 2015</w:t>
      </w:r>
      <w:r w:rsidRPr="00A8580F">
        <w:rPr>
          <w:rFonts w:ascii="Times New Roman" w:eastAsia="Times New Roman" w:hAnsi="Times New Roman" w:cs="Times New Roman"/>
          <w:color w:val="2E2E2E"/>
          <w:sz w:val="27"/>
          <w:szCs w:val="27"/>
        </w:rPr>
        <w:fldChar w:fldCharType="end"/>
      </w:r>
      <w:bookmarkEnd w:id="84"/>
      <w:r w:rsidRPr="00A8580F">
        <w:rPr>
          <w:rFonts w:ascii="Times New Roman" w:eastAsia="Times New Roman" w:hAnsi="Times New Roman" w:cs="Times New Roman"/>
          <w:color w:val="2E2E2E"/>
          <w:sz w:val="27"/>
          <w:szCs w:val="27"/>
        </w:rPr>
        <w:t>;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Komer</w:t>
      </w:r>
      <w:proofErr w:type="spellEnd"/>
      <w:r w:rsidRPr="00A8580F">
        <w:rPr>
          <w:rFonts w:ascii="Times New Roman" w:eastAsia="Times New Roman" w:hAnsi="Times New Roman" w:cs="Times New Roman"/>
          <w:color w:val="0C7DBB"/>
          <w:sz w:val="27"/>
          <w:szCs w:val="27"/>
          <w:u w:val="single"/>
        </w:rPr>
        <w:t xml:space="preserve"> et al., 2018</w:t>
      </w:r>
      <w:r w:rsidRPr="00A8580F">
        <w:rPr>
          <w:rFonts w:ascii="Times New Roman" w:eastAsia="Times New Roman" w:hAnsi="Times New Roman" w:cs="Times New Roman"/>
          <w:color w:val="2E2E2E"/>
          <w:sz w:val="27"/>
          <w:szCs w:val="27"/>
        </w:rPr>
        <w:fldChar w:fldCharType="end"/>
      </w:r>
      <w:bookmarkEnd w:id="85"/>
      <w:r w:rsidRPr="00A8580F">
        <w:rPr>
          <w:rFonts w:ascii="Times New Roman" w:eastAsia="Times New Roman" w:hAnsi="Times New Roman" w:cs="Times New Roman"/>
          <w:color w:val="2E2E2E"/>
          <w:sz w:val="27"/>
          <w:szCs w:val="27"/>
        </w:rPr>
        <w:t>). Given that such methods are designed to reduce user bias in hyperparameter selection, avoid the time-intensive nature of manual hyperparameter search methods, and also provide strong gains in performance relative to default hyperparameter settings, we believe it to be a very valuable tool that will appreciate a growing application as others adopt these emerging techniques.</w:t>
      </w:r>
    </w:p>
    <w:p w14:paraId="4AF3D100"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Contrary to our expectation, the feature pruning on the basis of observed group differences in the anesthesia dataset generally lowered performance. Here, we suspect </w:t>
      </w:r>
      <w:r w:rsidRPr="00A8580F">
        <w:rPr>
          <w:rFonts w:ascii="Times New Roman" w:eastAsia="Times New Roman" w:hAnsi="Times New Roman" w:cs="Times New Roman"/>
          <w:color w:val="2E2E2E"/>
          <w:sz w:val="27"/>
          <w:szCs w:val="27"/>
        </w:rPr>
        <w:lastRenderedPageBreak/>
        <w:t>that many of the features excluded from the pruned sub-set of features contained meaningful information used by the models. Given that careful feature selection remains a key step in constructing a machine learning model, our results suggest that elimination of redundant or non-informative features is better-achieved through methods like recursive feature elimination, in which model performance is iteratively tested with and without specific features.</w:t>
      </w:r>
    </w:p>
    <w:p w14:paraId="06A5DD3F" w14:textId="77777777" w:rsidR="002E7EFA" w:rsidRPr="00A8580F" w:rsidRDefault="002E7EFA" w:rsidP="002E7EFA">
      <w:pPr>
        <w:spacing w:after="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Taken together, our analysis of single features, and the post-hoc exploration of SVM and ET feature importance, provides converging evidence that network-level measures of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 activity (i.e., within network FC, between network FC) are especially relevant biomarkers for studying unconsciousness; the network-level measures tended to have high univariate model-free classification performance within- and cross-dataset, and were also identified as among the most highly important features within the ET model. Much of the recent research on </w:t>
      </w:r>
      <w:hyperlink r:id="rId140" w:tooltip="Learn more about neural correlates of consciousness from ScienceDirect's AI-generated Topic Pages" w:history="1">
        <w:r w:rsidRPr="00A8580F">
          <w:rPr>
            <w:rFonts w:ascii="Times New Roman" w:eastAsia="Times New Roman" w:hAnsi="Times New Roman" w:cs="Times New Roman"/>
            <w:color w:val="2E2E2E"/>
            <w:sz w:val="27"/>
            <w:szCs w:val="27"/>
            <w:u w:val="single"/>
          </w:rPr>
          <w:t>neural correlates of consciousness</w:t>
        </w:r>
      </w:hyperlink>
      <w:r w:rsidRPr="00A8580F">
        <w:rPr>
          <w:rFonts w:ascii="Times New Roman" w:eastAsia="Times New Roman" w:hAnsi="Times New Roman" w:cs="Times New Roman"/>
          <w:color w:val="2E2E2E"/>
          <w:sz w:val="27"/>
          <w:szCs w:val="27"/>
        </w:rPr>
        <w:t> similarly emphasizes the importance of long-range connectivity (</w:t>
      </w:r>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"bib64"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Mashour</w:t>
      </w:r>
      <w:proofErr w:type="spellEnd"/>
      <w:r w:rsidRPr="00A8580F">
        <w:rPr>
          <w:rFonts w:ascii="Times New Roman" w:eastAsia="Times New Roman" w:hAnsi="Times New Roman" w:cs="Times New Roman"/>
          <w:color w:val="0C7DBB"/>
          <w:sz w:val="27"/>
          <w:szCs w:val="27"/>
          <w:u w:val="single"/>
        </w:rPr>
        <w:t xml:space="preserve"> and </w:t>
      </w:r>
      <w:proofErr w:type="spellStart"/>
      <w:r w:rsidRPr="00A8580F">
        <w:rPr>
          <w:rFonts w:ascii="Times New Roman" w:eastAsia="Times New Roman" w:hAnsi="Times New Roman" w:cs="Times New Roman"/>
          <w:color w:val="0C7DBB"/>
          <w:sz w:val="27"/>
          <w:szCs w:val="27"/>
          <w:u w:val="single"/>
        </w:rPr>
        <w:t>Hudetz</w:t>
      </w:r>
      <w:proofErr w:type="spellEnd"/>
      <w:r w:rsidRPr="00A8580F">
        <w:rPr>
          <w:rFonts w:ascii="Times New Roman" w:eastAsia="Times New Roman" w:hAnsi="Times New Roman" w:cs="Times New Roman"/>
          <w:color w:val="0C7DBB"/>
          <w:sz w:val="27"/>
          <w:szCs w:val="27"/>
          <w:u w:val="single"/>
        </w:rPr>
        <w:t>, 2018</w:t>
      </w:r>
      <w:r w:rsidRPr="00A8580F">
        <w:rPr>
          <w:rFonts w:ascii="Times New Roman" w:eastAsia="Times New Roman" w:hAnsi="Times New Roman" w:cs="Times New Roman"/>
          <w:color w:val="2E2E2E"/>
          <w:sz w:val="27"/>
          <w:szCs w:val="27"/>
        </w:rPr>
        <w:fldChar w:fldCharType="end"/>
      </w:r>
      <w:bookmarkEnd w:id="24"/>
      <w:r w:rsidRPr="00A8580F">
        <w:rPr>
          <w:rFonts w:ascii="Times New Roman" w:eastAsia="Times New Roman" w:hAnsi="Times New Roman" w:cs="Times New Roman"/>
          <w:color w:val="2E2E2E"/>
          <w:sz w:val="27"/>
          <w:szCs w:val="27"/>
        </w:rPr>
        <w:t>) and network-level features (</w:t>
      </w:r>
      <w:bookmarkStart w:id="107" w:name="bbib5"/>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Amico et al., 2017</w:t>
      </w:r>
      <w:r w:rsidRPr="00A8580F">
        <w:rPr>
          <w:rFonts w:ascii="Times New Roman" w:eastAsia="Times New Roman" w:hAnsi="Times New Roman" w:cs="Times New Roman"/>
          <w:color w:val="2E2E2E"/>
          <w:sz w:val="27"/>
          <w:szCs w:val="27"/>
        </w:rPr>
        <w:fldChar w:fldCharType="end"/>
      </w:r>
      <w:bookmarkEnd w:id="107"/>
      <w:r w:rsidRPr="00A8580F">
        <w:rPr>
          <w:rFonts w:ascii="Times New Roman" w:eastAsia="Times New Roman" w:hAnsi="Times New Roman" w:cs="Times New Roman"/>
          <w:color w:val="2E2E2E"/>
          <w:sz w:val="27"/>
          <w:szCs w:val="27"/>
        </w:rPr>
        <w:t>; </w:t>
      </w:r>
      <w:bookmarkStart w:id="108" w:name="bbib24"/>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"bib24"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Crone et al., 2014</w:t>
      </w:r>
      <w:r w:rsidRPr="00A8580F">
        <w:rPr>
          <w:rFonts w:ascii="Times New Roman" w:eastAsia="Times New Roman" w:hAnsi="Times New Roman" w:cs="Times New Roman"/>
          <w:color w:val="2E2E2E"/>
          <w:sz w:val="27"/>
          <w:szCs w:val="27"/>
        </w:rPr>
        <w:fldChar w:fldCharType="end"/>
      </w:r>
      <w:bookmarkEnd w:id="108"/>
      <w:r w:rsidRPr="00A8580F">
        <w:rPr>
          <w:rFonts w:ascii="Times New Roman" w:eastAsia="Times New Roman" w:hAnsi="Times New Roman" w:cs="Times New Roman"/>
          <w:color w:val="2E2E2E"/>
          <w:sz w:val="27"/>
          <w:szCs w:val="27"/>
        </w:rPr>
        <w:t>; </w:t>
      </w:r>
      <w:hyperlink r:id="rId141" w:anchor="bib34" w:history="1">
        <w:r w:rsidRPr="00A8580F">
          <w:rPr>
            <w:rFonts w:ascii="Times New Roman" w:eastAsia="Times New Roman" w:hAnsi="Times New Roman" w:cs="Times New Roman"/>
            <w:color w:val="0C7DBB"/>
            <w:sz w:val="27"/>
            <w:szCs w:val="27"/>
            <w:u w:val="single"/>
          </w:rPr>
          <w:t>Fernández-Espejo et al., 2012</w:t>
        </w:r>
      </w:hyperlink>
      <w:bookmarkEnd w:id="100"/>
      <w:r w:rsidRPr="00A8580F">
        <w:rPr>
          <w:rFonts w:ascii="Times New Roman" w:eastAsia="Times New Roman" w:hAnsi="Times New Roman" w:cs="Times New Roman"/>
          <w:color w:val="2E2E2E"/>
          <w:sz w:val="27"/>
          <w:szCs w:val="27"/>
        </w:rPr>
        <w:t>; </w:t>
      </w:r>
      <w:bookmarkStart w:id="109" w:name="bbib36"/>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"bib36"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Fischer et al., 2016</w:t>
      </w:r>
      <w:r w:rsidRPr="00A8580F">
        <w:rPr>
          <w:rFonts w:ascii="Times New Roman" w:eastAsia="Times New Roman" w:hAnsi="Times New Roman" w:cs="Times New Roman"/>
          <w:color w:val="2E2E2E"/>
          <w:sz w:val="27"/>
          <w:szCs w:val="27"/>
        </w:rPr>
        <w:fldChar w:fldCharType="end"/>
      </w:r>
      <w:bookmarkEnd w:id="109"/>
      <w:r w:rsidRPr="00A8580F">
        <w:rPr>
          <w:rFonts w:ascii="Times New Roman" w:eastAsia="Times New Roman" w:hAnsi="Times New Roman" w:cs="Times New Roman"/>
          <w:color w:val="2E2E2E"/>
          <w:sz w:val="27"/>
          <w:szCs w:val="27"/>
        </w:rPr>
        <w:t>; </w:t>
      </w:r>
      <w:bookmarkStart w:id="110" w:name="bbib55"/>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"bib55"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Kotchoubey</w:t>
      </w:r>
      <w:proofErr w:type="spellEnd"/>
      <w:r w:rsidRPr="00A8580F">
        <w:rPr>
          <w:rFonts w:ascii="Times New Roman" w:eastAsia="Times New Roman" w:hAnsi="Times New Roman" w:cs="Times New Roman"/>
          <w:color w:val="0C7DBB"/>
          <w:sz w:val="27"/>
          <w:szCs w:val="27"/>
          <w:u w:val="single"/>
        </w:rPr>
        <w:t xml:space="preserve"> et al., 2013</w:t>
      </w:r>
      <w:r w:rsidRPr="00A8580F">
        <w:rPr>
          <w:rFonts w:ascii="Times New Roman" w:eastAsia="Times New Roman" w:hAnsi="Times New Roman" w:cs="Times New Roman"/>
          <w:color w:val="2E2E2E"/>
          <w:sz w:val="27"/>
          <w:szCs w:val="27"/>
        </w:rPr>
        <w:fldChar w:fldCharType="end"/>
      </w:r>
      <w:bookmarkEnd w:id="110"/>
      <w:r w:rsidRPr="00A8580F">
        <w:rPr>
          <w:rFonts w:ascii="Times New Roman" w:eastAsia="Times New Roman" w:hAnsi="Times New Roman" w:cs="Times New Roman"/>
          <w:color w:val="2E2E2E"/>
          <w:sz w:val="27"/>
          <w:szCs w:val="27"/>
        </w:rPr>
        <w:t>; </w:t>
      </w:r>
      <w:hyperlink r:id="rId142" w:anchor="bib77" w:history="1">
        <w:r w:rsidRPr="00A8580F">
          <w:rPr>
            <w:rFonts w:ascii="Times New Roman" w:eastAsia="Times New Roman" w:hAnsi="Times New Roman" w:cs="Times New Roman"/>
            <w:color w:val="0C7DBB"/>
            <w:sz w:val="27"/>
            <w:szCs w:val="27"/>
            <w:u w:val="single"/>
          </w:rPr>
          <w:t>Qin et al., 2015</w:t>
        </w:r>
      </w:hyperlink>
      <w:bookmarkEnd w:id="105"/>
      <w:r w:rsidRPr="00A8580F">
        <w:rPr>
          <w:rFonts w:ascii="Times New Roman" w:eastAsia="Times New Roman" w:hAnsi="Times New Roman" w:cs="Times New Roman"/>
          <w:color w:val="2E2E2E"/>
          <w:sz w:val="27"/>
          <w:szCs w:val="27"/>
        </w:rPr>
        <w:t>; </w:t>
      </w:r>
      <w:bookmarkStart w:id="111" w:name="bbib80"/>
      <w:proofErr w:type="spellStart"/>
      <w:r w:rsidRPr="00A8580F">
        <w:rPr>
          <w:rFonts w:ascii="Times New Roman" w:eastAsia="Times New Roman" w:hAnsi="Times New Roman" w:cs="Times New Roman"/>
          <w:color w:val="2E2E2E"/>
          <w:sz w:val="27"/>
          <w:szCs w:val="27"/>
        </w:rPr>
        <w:fldChar w:fldCharType="begin"/>
      </w:r>
      <w:r w:rsidRPr="00A8580F">
        <w:rPr>
          <w:rFonts w:ascii="Times New Roman" w:eastAsia="Times New Roman" w:hAnsi="Times New Roman" w:cs="Times New Roman"/>
          <w:color w:val="2E2E2E"/>
          <w:sz w:val="27"/>
          <w:szCs w:val="27"/>
        </w:rPr>
        <w:instrText xml:space="preserve"> HYPERLINK "https://www.sciencedirect.com/science/article/pii/S1053811919309073" \l "bib80" </w:instrText>
      </w:r>
      <w:r w:rsidRPr="00A8580F">
        <w:rPr>
          <w:rFonts w:ascii="Times New Roman" w:eastAsia="Times New Roman" w:hAnsi="Times New Roman" w:cs="Times New Roman"/>
          <w:color w:val="2E2E2E"/>
          <w:sz w:val="27"/>
          <w:szCs w:val="27"/>
        </w:rPr>
        <w:fldChar w:fldCharType="separate"/>
      </w:r>
      <w:r w:rsidRPr="00A8580F">
        <w:rPr>
          <w:rFonts w:ascii="Times New Roman" w:eastAsia="Times New Roman" w:hAnsi="Times New Roman" w:cs="Times New Roman"/>
          <w:color w:val="0C7DBB"/>
          <w:sz w:val="27"/>
          <w:szCs w:val="27"/>
          <w:u w:val="single"/>
        </w:rPr>
        <w:t>Rosazza</w:t>
      </w:r>
      <w:proofErr w:type="spellEnd"/>
      <w:r w:rsidRPr="00A8580F">
        <w:rPr>
          <w:rFonts w:ascii="Times New Roman" w:eastAsia="Times New Roman" w:hAnsi="Times New Roman" w:cs="Times New Roman"/>
          <w:color w:val="0C7DBB"/>
          <w:sz w:val="27"/>
          <w:szCs w:val="27"/>
          <w:u w:val="single"/>
        </w:rPr>
        <w:t xml:space="preserve"> et al., 2016</w:t>
      </w:r>
      <w:r w:rsidRPr="00A8580F">
        <w:rPr>
          <w:rFonts w:ascii="Times New Roman" w:eastAsia="Times New Roman" w:hAnsi="Times New Roman" w:cs="Times New Roman"/>
          <w:color w:val="2E2E2E"/>
          <w:sz w:val="27"/>
          <w:szCs w:val="27"/>
        </w:rPr>
        <w:fldChar w:fldCharType="end"/>
      </w:r>
      <w:bookmarkEnd w:id="111"/>
      <w:r w:rsidRPr="00A8580F">
        <w:rPr>
          <w:rFonts w:ascii="Times New Roman" w:eastAsia="Times New Roman" w:hAnsi="Times New Roman" w:cs="Times New Roman"/>
          <w:color w:val="2E2E2E"/>
          <w:sz w:val="27"/>
          <w:szCs w:val="27"/>
        </w:rPr>
        <w:t>). Interestingly, though the network-level measures were generally what most separated conscious and unconscious states, we did not identify any particular networks that were universally different between the two. We propose two possible explanations for this observation: 1) the network features were derived from pre-defined network template (226 nodes), reduced the original spatial resolution from tens of thousands of voxels to hundreds. This relatively coarse estimation of brain activity may inevitably introduce inaccurate network assignment for different individuals due to inter-subject variability. 2) unconsciousness (whether induced pathologically or by anesthetics) may entail spatially diffuse, rather than focal, changes to network activity. Both explanations highlight the importance of using multivariate analyses; multivariate approaches help to address inter-subject variability (potentially, heterogeneity in DOC population) while also capturing the information from large-scale brain activity.</w:t>
      </w:r>
    </w:p>
    <w:p w14:paraId="2425711C"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There are a few methodological limitations worth noting. First, during our analyses of within- and cross-dataset performance, we observed near-optimal performance both within- and cross-dataset across all three models. Though this was a positive result, it made subsequent comparisons between the three models difficult, as we did not observe a clear winner, or loser, among the three. Given that single features were, in some cases, also high performing univariate classifiers, we suspect that the discrimination task performed by the models was relatively straightforward—that is, there was usually clear separation between the two groups. This may also explain why we observed near-identical cross-dataset performance; in most machine learning applications, model performance is generally expected to decline when generalizing to novel data (relative to performance during training).</w:t>
      </w:r>
    </w:p>
    <w:p w14:paraId="4B7113FE"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lastRenderedPageBreak/>
        <w:t>It is possible that, due to the simplicity of the classification, we achieved a sort of ceiling effect that obscured meaningful differences in how the three models would have performed on a more challenging task. Though we attempted to further delineate the models by application of computational stress tests, it is important to note the difficulty of assessing whether the differences observed are due to actual variation in model robustness, or rather, a consequence of how the different models make classifications.</w:t>
      </w:r>
    </w:p>
    <w:p w14:paraId="4C18C26D"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Additionally, although our exploration of intermediate states indicated that the models treated the MCS group differently than the UWS/VS group and the healthy controls, only limited conclusions can be drawn. For one, since the models were not trained to execute a true multi-label classification, we cannot say that such a model would incontrovertibly achieve a similarly high level of performance when discriminating between MCS and UWS/VS or between MCS and healthy controls. Our analysis of the data collected during light anesthetic-sedation offered a preliminary indication that this group may serve as a future analog to MCS, however, as multi-label classification was not the primary goal of the study, that hypothesis was not explicitly tested and needs to be explored further.</w:t>
      </w:r>
    </w:p>
    <w:p w14:paraId="6CE7B08D" w14:textId="77777777" w:rsidR="002E7EFA" w:rsidRPr="00A8580F" w:rsidRDefault="002E7EFA" w:rsidP="002E7EFA">
      <w:pPr>
        <w:spacing w:after="240" w:line="240" w:lineRule="auto"/>
        <w:rPr>
          <w:rFonts w:ascii="Times New Roman" w:eastAsia="Times New Roman" w:hAnsi="Times New Roman" w:cs="Times New Roman"/>
          <w:color w:val="2E2E2E"/>
          <w:sz w:val="27"/>
          <w:szCs w:val="27"/>
        </w:rPr>
      </w:pPr>
      <w:r w:rsidRPr="00A8580F">
        <w:rPr>
          <w:rFonts w:ascii="Times New Roman" w:eastAsia="Times New Roman" w:hAnsi="Times New Roman" w:cs="Times New Roman"/>
          <w:color w:val="2E2E2E"/>
          <w:sz w:val="27"/>
          <w:szCs w:val="27"/>
        </w:rPr>
        <w:t xml:space="preserve">In sum, our study both validates the use of anesthetic-induced unconsciousness as a surrogate model of study for pathologically induced unresponsiveness and establishes a pipeline for the use of </w:t>
      </w:r>
      <w:proofErr w:type="spellStart"/>
      <w:r w:rsidRPr="00A8580F">
        <w:rPr>
          <w:rFonts w:ascii="Times New Roman" w:eastAsia="Times New Roman" w:hAnsi="Times New Roman" w:cs="Times New Roman"/>
          <w:color w:val="2E2E2E"/>
          <w:sz w:val="27"/>
          <w:szCs w:val="27"/>
        </w:rPr>
        <w:t>rs</w:t>
      </w:r>
      <w:proofErr w:type="spellEnd"/>
      <w:r w:rsidRPr="00A8580F">
        <w:rPr>
          <w:rFonts w:ascii="Times New Roman" w:eastAsia="Times New Roman" w:hAnsi="Times New Roman" w:cs="Times New Roman"/>
          <w:color w:val="2E2E2E"/>
          <w:sz w:val="27"/>
          <w:szCs w:val="27"/>
        </w:rPr>
        <w:t>-fMRI-based multivariate machine learning approaches to classification. In doing so, we hope to help pave the way towards a large sample verification study and the routine application of machine-learning in the clinical context.</w:t>
      </w:r>
    </w:p>
    <w:p w14:paraId="0F6D1314" w14:textId="77777777" w:rsidR="002E7EFA" w:rsidRPr="00A8580F" w:rsidRDefault="002E7EFA" w:rsidP="002E7EFA">
      <w:pPr>
        <w:spacing w:before="100" w:beforeAutospacing="1" w:after="100" w:afterAutospacing="1" w:line="240" w:lineRule="auto"/>
        <w:outlineLvl w:val="1"/>
        <w:rPr>
          <w:rFonts w:ascii="Times New Roman" w:eastAsia="Times New Roman" w:hAnsi="Times New Roman" w:cs="Times New Roman"/>
          <w:b/>
          <w:bCs/>
          <w:color w:val="505050"/>
          <w:sz w:val="36"/>
          <w:szCs w:val="36"/>
        </w:rPr>
      </w:pPr>
      <w:r w:rsidRPr="00A8580F">
        <w:rPr>
          <w:rFonts w:ascii="Times New Roman" w:eastAsia="Times New Roman" w:hAnsi="Times New Roman" w:cs="Times New Roman"/>
          <w:b/>
          <w:bCs/>
          <w:color w:val="505050"/>
          <w:sz w:val="36"/>
          <w:szCs w:val="36"/>
        </w:rPr>
        <w:t>Acknowledgements</w:t>
      </w:r>
    </w:p>
    <w:p w14:paraId="6681917F" w14:textId="77777777" w:rsidR="002E7EFA" w:rsidRPr="00A8580F" w:rsidRDefault="002E7EFA" w:rsidP="002E7EFA">
      <w:pPr>
        <w:spacing w:after="0" w:line="240" w:lineRule="auto"/>
        <w:rPr>
          <w:rFonts w:ascii="Times New Roman" w:eastAsia="Times New Roman" w:hAnsi="Times New Roman" w:cs="Times New Roman"/>
          <w:sz w:val="24"/>
          <w:szCs w:val="24"/>
        </w:rPr>
      </w:pPr>
      <w:r w:rsidRPr="00A8580F">
        <w:rPr>
          <w:rFonts w:ascii="Times New Roman" w:eastAsia="Times New Roman" w:hAnsi="Times New Roman" w:cs="Times New Roman"/>
          <w:sz w:val="24"/>
          <w:szCs w:val="24"/>
        </w:rPr>
        <w:t>This study was supported by a grant of the National Institute of General Medical Sciences of the National Institutes of Health under Award </w:t>
      </w:r>
      <w:hyperlink r:id="rId143" w:anchor="gs10" w:history="1">
        <w:r w:rsidRPr="00A8580F">
          <w:rPr>
            <w:rFonts w:ascii="Times New Roman" w:eastAsia="Times New Roman" w:hAnsi="Times New Roman" w:cs="Times New Roman"/>
            <w:color w:val="0C7DBB"/>
            <w:sz w:val="24"/>
            <w:szCs w:val="24"/>
            <w:u w:val="single"/>
          </w:rPr>
          <w:t>R01-GM103894</w:t>
        </w:r>
      </w:hyperlink>
      <w:r w:rsidRPr="00A8580F">
        <w:rPr>
          <w:rFonts w:ascii="Times New Roman" w:eastAsia="Times New Roman" w:hAnsi="Times New Roman" w:cs="Times New Roman"/>
          <w:sz w:val="24"/>
          <w:szCs w:val="24"/>
        </w:rPr>
        <w:t>, and by the Center for Consciousness Science, University of Michigan Medical School. The content is solely the responsibility of the authors and does not necessarily represent the official views of the National Institutes of Health. We declare no conflict of interest for all authors.</w:t>
      </w:r>
    </w:p>
    <w:p w14:paraId="4C208747" w14:textId="77777777" w:rsidR="00512914" w:rsidRPr="00A8580F" w:rsidRDefault="00512914">
      <w:pPr>
        <w:rPr>
          <w:rFonts w:ascii="Times New Roman" w:hAnsi="Times New Roman" w:cs="Times New Roman"/>
        </w:rPr>
      </w:pPr>
    </w:p>
    <w:sectPr w:rsidR="00512914" w:rsidRPr="00A8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5BE"/>
    <w:multiLevelType w:val="multilevel"/>
    <w:tmpl w:val="E18E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F78E8"/>
    <w:multiLevelType w:val="multilevel"/>
    <w:tmpl w:val="8196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56B11"/>
    <w:multiLevelType w:val="multilevel"/>
    <w:tmpl w:val="63D0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E0E56"/>
    <w:multiLevelType w:val="multilevel"/>
    <w:tmpl w:val="52AE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465EA"/>
    <w:multiLevelType w:val="multilevel"/>
    <w:tmpl w:val="262C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B3484"/>
    <w:multiLevelType w:val="multilevel"/>
    <w:tmpl w:val="E56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2071"/>
    <w:multiLevelType w:val="multilevel"/>
    <w:tmpl w:val="AB5C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E6D92"/>
    <w:multiLevelType w:val="multilevel"/>
    <w:tmpl w:val="92D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74ED2"/>
    <w:multiLevelType w:val="multilevel"/>
    <w:tmpl w:val="27D2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6E28BA"/>
    <w:multiLevelType w:val="multilevel"/>
    <w:tmpl w:val="5E90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B71D7"/>
    <w:multiLevelType w:val="multilevel"/>
    <w:tmpl w:val="2398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3614E"/>
    <w:multiLevelType w:val="multilevel"/>
    <w:tmpl w:val="53D8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E3085"/>
    <w:multiLevelType w:val="multilevel"/>
    <w:tmpl w:val="12C0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3"/>
  </w:num>
  <w:num w:numId="4">
    <w:abstractNumId w:val="4"/>
  </w:num>
  <w:num w:numId="5">
    <w:abstractNumId w:val="5"/>
  </w:num>
  <w:num w:numId="6">
    <w:abstractNumId w:val="6"/>
  </w:num>
  <w:num w:numId="7">
    <w:abstractNumId w:val="10"/>
  </w:num>
  <w:num w:numId="8">
    <w:abstractNumId w:val="12"/>
  </w:num>
  <w:num w:numId="9">
    <w:abstractNumId w:val="2"/>
  </w:num>
  <w:num w:numId="10">
    <w:abstractNumId w:val="1"/>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32"/>
    <w:rsid w:val="000D38AD"/>
    <w:rsid w:val="00114ADF"/>
    <w:rsid w:val="00225290"/>
    <w:rsid w:val="002E7EFA"/>
    <w:rsid w:val="003E100E"/>
    <w:rsid w:val="00512914"/>
    <w:rsid w:val="0058361E"/>
    <w:rsid w:val="00625C9D"/>
    <w:rsid w:val="00A8580F"/>
    <w:rsid w:val="00BF6791"/>
    <w:rsid w:val="00BF7B00"/>
    <w:rsid w:val="00C85621"/>
    <w:rsid w:val="00CC3F52"/>
    <w:rsid w:val="00E323CE"/>
    <w:rsid w:val="00E41A79"/>
    <w:rsid w:val="00EB2F70"/>
    <w:rsid w:val="00F2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AC29"/>
  <w15:chartTrackingRefBased/>
  <w15:docId w15:val="{0DF963EE-153E-436F-AD53-108FA90C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7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E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E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E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EFA"/>
    <w:rPr>
      <w:rFonts w:ascii="Times New Roman" w:eastAsia="Times New Roman" w:hAnsi="Times New Roman" w:cs="Times New Roman"/>
      <w:b/>
      <w:bCs/>
      <w:sz w:val="24"/>
      <w:szCs w:val="24"/>
    </w:rPr>
  </w:style>
  <w:style w:type="paragraph" w:customStyle="1" w:styleId="msonormal0">
    <w:name w:val="msonormal"/>
    <w:basedOn w:val="Normal"/>
    <w:rsid w:val="002E7E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E7E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EFA"/>
    <w:rPr>
      <w:color w:val="0000FF"/>
      <w:u w:val="single"/>
    </w:rPr>
  </w:style>
  <w:style w:type="character" w:styleId="FollowedHyperlink">
    <w:name w:val="FollowedHyperlink"/>
    <w:basedOn w:val="DefaultParagraphFont"/>
    <w:uiPriority w:val="99"/>
    <w:semiHidden/>
    <w:unhideWhenUsed/>
    <w:rsid w:val="002E7EFA"/>
    <w:rPr>
      <w:color w:val="800080"/>
      <w:u w:val="single"/>
    </w:rPr>
  </w:style>
  <w:style w:type="character" w:styleId="Emphasis">
    <w:name w:val="Emphasis"/>
    <w:basedOn w:val="DefaultParagraphFont"/>
    <w:uiPriority w:val="20"/>
    <w:qFormat/>
    <w:rsid w:val="002E7EFA"/>
    <w:rPr>
      <w:i/>
      <w:iCs/>
    </w:rPr>
  </w:style>
  <w:style w:type="character" w:customStyle="1" w:styleId="anchor-text">
    <w:name w:val="anchor-text"/>
    <w:basedOn w:val="DefaultParagraphFont"/>
    <w:rsid w:val="002E7EFA"/>
  </w:style>
  <w:style w:type="character" w:customStyle="1" w:styleId="download-link-title">
    <w:name w:val="download-link-title"/>
    <w:basedOn w:val="DefaultParagraphFont"/>
    <w:rsid w:val="002E7EFA"/>
  </w:style>
  <w:style w:type="character" w:customStyle="1" w:styleId="captions">
    <w:name w:val="captions"/>
    <w:basedOn w:val="DefaultParagraphFont"/>
    <w:rsid w:val="002E7EFA"/>
  </w:style>
  <w:style w:type="character" w:customStyle="1" w:styleId="label">
    <w:name w:val="label"/>
    <w:basedOn w:val="DefaultParagraphFont"/>
    <w:rsid w:val="002E7EFA"/>
  </w:style>
  <w:style w:type="character" w:styleId="Strong">
    <w:name w:val="Strong"/>
    <w:basedOn w:val="DefaultParagraphFont"/>
    <w:uiPriority w:val="22"/>
    <w:qFormat/>
    <w:rsid w:val="002E7EFA"/>
    <w:rPr>
      <w:b/>
      <w:bCs/>
    </w:rPr>
  </w:style>
  <w:style w:type="paragraph" w:customStyle="1" w:styleId="legend">
    <w:name w:val="legend"/>
    <w:basedOn w:val="Normal"/>
    <w:rsid w:val="002E7E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1A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50703">
      <w:bodyDiv w:val="1"/>
      <w:marLeft w:val="0"/>
      <w:marRight w:val="0"/>
      <w:marTop w:val="0"/>
      <w:marBottom w:val="0"/>
      <w:divBdr>
        <w:top w:val="none" w:sz="0" w:space="0" w:color="auto"/>
        <w:left w:val="none" w:sz="0" w:space="0" w:color="auto"/>
        <w:bottom w:val="none" w:sz="0" w:space="0" w:color="auto"/>
        <w:right w:val="none" w:sz="0" w:space="0" w:color="auto"/>
      </w:divBdr>
      <w:divsChild>
        <w:div w:id="1435245380">
          <w:marLeft w:val="0"/>
          <w:marRight w:val="0"/>
          <w:marTop w:val="0"/>
          <w:marBottom w:val="0"/>
          <w:divBdr>
            <w:top w:val="none" w:sz="0" w:space="0" w:color="auto"/>
            <w:left w:val="none" w:sz="0" w:space="0" w:color="auto"/>
            <w:bottom w:val="none" w:sz="0" w:space="0" w:color="auto"/>
            <w:right w:val="none" w:sz="0" w:space="0" w:color="auto"/>
          </w:divBdr>
          <w:divsChild>
            <w:div w:id="467014902">
              <w:marLeft w:val="0"/>
              <w:marRight w:val="0"/>
              <w:marTop w:val="0"/>
              <w:marBottom w:val="0"/>
              <w:divBdr>
                <w:top w:val="none" w:sz="0" w:space="0" w:color="auto"/>
                <w:left w:val="none" w:sz="0" w:space="0" w:color="auto"/>
                <w:bottom w:val="none" w:sz="0" w:space="0" w:color="auto"/>
                <w:right w:val="none" w:sz="0" w:space="0" w:color="auto"/>
              </w:divBdr>
            </w:div>
            <w:div w:id="11076553">
              <w:marLeft w:val="0"/>
              <w:marRight w:val="0"/>
              <w:marTop w:val="0"/>
              <w:marBottom w:val="0"/>
              <w:divBdr>
                <w:top w:val="none" w:sz="0" w:space="0" w:color="auto"/>
                <w:left w:val="none" w:sz="0" w:space="0" w:color="auto"/>
                <w:bottom w:val="none" w:sz="0" w:space="0" w:color="auto"/>
                <w:right w:val="none" w:sz="0" w:space="0" w:color="auto"/>
              </w:divBdr>
              <w:divsChild>
                <w:div w:id="1275333109">
                  <w:marLeft w:val="0"/>
                  <w:marRight w:val="0"/>
                  <w:marTop w:val="240"/>
                  <w:marBottom w:val="240"/>
                  <w:divBdr>
                    <w:top w:val="single" w:sz="12" w:space="0" w:color="EBEBEB"/>
                    <w:left w:val="none" w:sz="0" w:space="0" w:color="auto"/>
                    <w:bottom w:val="single" w:sz="12" w:space="0" w:color="EBEBEB"/>
                    <w:right w:val="none" w:sz="0" w:space="0" w:color="auto"/>
                  </w:divBdr>
                  <w:divsChild>
                    <w:div w:id="844779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9656777">
              <w:marLeft w:val="0"/>
              <w:marRight w:val="0"/>
              <w:marTop w:val="0"/>
              <w:marBottom w:val="0"/>
              <w:divBdr>
                <w:top w:val="none" w:sz="0" w:space="0" w:color="auto"/>
                <w:left w:val="none" w:sz="0" w:space="0" w:color="auto"/>
                <w:bottom w:val="none" w:sz="0" w:space="0" w:color="auto"/>
                <w:right w:val="none" w:sz="0" w:space="0" w:color="auto"/>
              </w:divBdr>
            </w:div>
            <w:div w:id="511144395">
              <w:marLeft w:val="0"/>
              <w:marRight w:val="0"/>
              <w:marTop w:val="0"/>
              <w:marBottom w:val="0"/>
              <w:divBdr>
                <w:top w:val="none" w:sz="0" w:space="0" w:color="auto"/>
                <w:left w:val="none" w:sz="0" w:space="0" w:color="auto"/>
                <w:bottom w:val="none" w:sz="0" w:space="0" w:color="auto"/>
                <w:right w:val="none" w:sz="0" w:space="0" w:color="auto"/>
              </w:divBdr>
            </w:div>
            <w:div w:id="647897689">
              <w:marLeft w:val="0"/>
              <w:marRight w:val="0"/>
              <w:marTop w:val="0"/>
              <w:marBottom w:val="0"/>
              <w:divBdr>
                <w:top w:val="none" w:sz="0" w:space="0" w:color="auto"/>
                <w:left w:val="none" w:sz="0" w:space="0" w:color="auto"/>
                <w:bottom w:val="none" w:sz="0" w:space="0" w:color="auto"/>
                <w:right w:val="none" w:sz="0" w:space="0" w:color="auto"/>
              </w:divBdr>
            </w:div>
            <w:div w:id="82726670">
              <w:marLeft w:val="0"/>
              <w:marRight w:val="0"/>
              <w:marTop w:val="0"/>
              <w:marBottom w:val="0"/>
              <w:divBdr>
                <w:top w:val="none" w:sz="0" w:space="0" w:color="auto"/>
                <w:left w:val="none" w:sz="0" w:space="0" w:color="auto"/>
                <w:bottom w:val="none" w:sz="0" w:space="0" w:color="auto"/>
                <w:right w:val="none" w:sz="0" w:space="0" w:color="auto"/>
              </w:divBdr>
            </w:div>
            <w:div w:id="8874111">
              <w:marLeft w:val="0"/>
              <w:marRight w:val="0"/>
              <w:marTop w:val="0"/>
              <w:marBottom w:val="0"/>
              <w:divBdr>
                <w:top w:val="none" w:sz="0" w:space="0" w:color="auto"/>
                <w:left w:val="none" w:sz="0" w:space="0" w:color="auto"/>
                <w:bottom w:val="none" w:sz="0" w:space="0" w:color="auto"/>
                <w:right w:val="none" w:sz="0" w:space="0" w:color="auto"/>
              </w:divBdr>
            </w:div>
            <w:div w:id="1959988606">
              <w:marLeft w:val="0"/>
              <w:marRight w:val="0"/>
              <w:marTop w:val="0"/>
              <w:marBottom w:val="0"/>
              <w:divBdr>
                <w:top w:val="none" w:sz="0" w:space="0" w:color="auto"/>
                <w:left w:val="none" w:sz="0" w:space="0" w:color="auto"/>
                <w:bottom w:val="none" w:sz="0" w:space="0" w:color="auto"/>
                <w:right w:val="none" w:sz="0" w:space="0" w:color="auto"/>
              </w:divBdr>
            </w:div>
            <w:div w:id="1657175937">
              <w:marLeft w:val="0"/>
              <w:marRight w:val="0"/>
              <w:marTop w:val="0"/>
              <w:marBottom w:val="0"/>
              <w:divBdr>
                <w:top w:val="none" w:sz="0" w:space="0" w:color="auto"/>
                <w:left w:val="none" w:sz="0" w:space="0" w:color="auto"/>
                <w:bottom w:val="none" w:sz="0" w:space="0" w:color="auto"/>
                <w:right w:val="none" w:sz="0" w:space="0" w:color="auto"/>
              </w:divBdr>
            </w:div>
            <w:div w:id="1575046261">
              <w:marLeft w:val="0"/>
              <w:marRight w:val="0"/>
              <w:marTop w:val="0"/>
              <w:marBottom w:val="0"/>
              <w:divBdr>
                <w:top w:val="none" w:sz="0" w:space="0" w:color="auto"/>
                <w:left w:val="none" w:sz="0" w:space="0" w:color="auto"/>
                <w:bottom w:val="none" w:sz="0" w:space="0" w:color="auto"/>
                <w:right w:val="none" w:sz="0" w:space="0" w:color="auto"/>
              </w:divBdr>
              <w:divsChild>
                <w:div w:id="1570919452">
                  <w:marLeft w:val="0"/>
                  <w:marRight w:val="0"/>
                  <w:marTop w:val="240"/>
                  <w:marBottom w:val="240"/>
                  <w:divBdr>
                    <w:top w:val="single" w:sz="12" w:space="0" w:color="EBEBEB"/>
                    <w:left w:val="none" w:sz="0" w:space="0" w:color="auto"/>
                    <w:bottom w:val="single" w:sz="12" w:space="0" w:color="EBEBEB"/>
                    <w:right w:val="none" w:sz="0" w:space="0" w:color="auto"/>
                  </w:divBdr>
                  <w:divsChild>
                    <w:div w:id="360205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87327995">
      <w:bodyDiv w:val="1"/>
      <w:marLeft w:val="0"/>
      <w:marRight w:val="0"/>
      <w:marTop w:val="0"/>
      <w:marBottom w:val="0"/>
      <w:divBdr>
        <w:top w:val="none" w:sz="0" w:space="0" w:color="auto"/>
        <w:left w:val="none" w:sz="0" w:space="0" w:color="auto"/>
        <w:bottom w:val="none" w:sz="0" w:space="0" w:color="auto"/>
        <w:right w:val="none" w:sz="0" w:space="0" w:color="auto"/>
      </w:divBdr>
    </w:div>
    <w:div w:id="996610791">
      <w:bodyDiv w:val="1"/>
      <w:marLeft w:val="0"/>
      <w:marRight w:val="0"/>
      <w:marTop w:val="0"/>
      <w:marBottom w:val="0"/>
      <w:divBdr>
        <w:top w:val="none" w:sz="0" w:space="0" w:color="auto"/>
        <w:left w:val="none" w:sz="0" w:space="0" w:color="auto"/>
        <w:bottom w:val="none" w:sz="0" w:space="0" w:color="auto"/>
        <w:right w:val="none" w:sz="0" w:space="0" w:color="auto"/>
      </w:divBdr>
    </w:div>
    <w:div w:id="1024752179">
      <w:bodyDiv w:val="1"/>
      <w:marLeft w:val="0"/>
      <w:marRight w:val="0"/>
      <w:marTop w:val="0"/>
      <w:marBottom w:val="0"/>
      <w:divBdr>
        <w:top w:val="none" w:sz="0" w:space="0" w:color="auto"/>
        <w:left w:val="none" w:sz="0" w:space="0" w:color="auto"/>
        <w:bottom w:val="none" w:sz="0" w:space="0" w:color="auto"/>
        <w:right w:val="none" w:sz="0" w:space="0" w:color="auto"/>
      </w:divBdr>
      <w:divsChild>
        <w:div w:id="1407262736">
          <w:marLeft w:val="0"/>
          <w:marRight w:val="0"/>
          <w:marTop w:val="240"/>
          <w:marBottom w:val="0"/>
          <w:divBdr>
            <w:top w:val="none" w:sz="0" w:space="0" w:color="auto"/>
            <w:left w:val="none" w:sz="0" w:space="0" w:color="auto"/>
            <w:bottom w:val="none" w:sz="0" w:space="0" w:color="auto"/>
            <w:right w:val="none" w:sz="0" w:space="0" w:color="auto"/>
          </w:divBdr>
          <w:divsChild>
            <w:div w:id="1586962556">
              <w:marLeft w:val="0"/>
              <w:marRight w:val="0"/>
              <w:marTop w:val="0"/>
              <w:marBottom w:val="0"/>
              <w:divBdr>
                <w:top w:val="single" w:sz="6" w:space="4" w:color="auto"/>
                <w:left w:val="single" w:sz="6" w:space="4" w:color="auto"/>
                <w:bottom w:val="single" w:sz="6" w:space="4" w:color="auto"/>
                <w:right w:val="single" w:sz="6" w:space="4" w:color="auto"/>
              </w:divBdr>
              <w:divsChild>
                <w:div w:id="2051833614">
                  <w:marLeft w:val="0"/>
                  <w:marRight w:val="0"/>
                  <w:marTop w:val="0"/>
                  <w:marBottom w:val="0"/>
                  <w:divBdr>
                    <w:top w:val="none" w:sz="0" w:space="0" w:color="auto"/>
                    <w:left w:val="none" w:sz="0" w:space="0" w:color="auto"/>
                    <w:bottom w:val="none" w:sz="0" w:space="0" w:color="auto"/>
                    <w:right w:val="none" w:sz="0" w:space="0" w:color="auto"/>
                  </w:divBdr>
                  <w:divsChild>
                    <w:div w:id="7534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08">
          <w:marLeft w:val="0"/>
          <w:marRight w:val="0"/>
          <w:marTop w:val="240"/>
          <w:marBottom w:val="0"/>
          <w:divBdr>
            <w:top w:val="none" w:sz="0" w:space="0" w:color="auto"/>
            <w:left w:val="none" w:sz="0" w:space="0" w:color="auto"/>
            <w:bottom w:val="none" w:sz="0" w:space="0" w:color="auto"/>
            <w:right w:val="none" w:sz="0" w:space="0" w:color="auto"/>
          </w:divBdr>
          <w:divsChild>
            <w:div w:id="2079933044">
              <w:marLeft w:val="0"/>
              <w:marRight w:val="0"/>
              <w:marTop w:val="0"/>
              <w:marBottom w:val="0"/>
              <w:divBdr>
                <w:top w:val="single" w:sz="6" w:space="4" w:color="auto"/>
                <w:left w:val="single" w:sz="6" w:space="4" w:color="auto"/>
                <w:bottom w:val="single" w:sz="6" w:space="4" w:color="auto"/>
                <w:right w:val="single" w:sz="6" w:space="4" w:color="auto"/>
              </w:divBdr>
              <w:divsChild>
                <w:div w:id="972520697">
                  <w:marLeft w:val="0"/>
                  <w:marRight w:val="0"/>
                  <w:marTop w:val="0"/>
                  <w:marBottom w:val="0"/>
                  <w:divBdr>
                    <w:top w:val="none" w:sz="0" w:space="0" w:color="auto"/>
                    <w:left w:val="none" w:sz="0" w:space="0" w:color="auto"/>
                    <w:bottom w:val="none" w:sz="0" w:space="0" w:color="auto"/>
                    <w:right w:val="none" w:sz="0" w:space="0" w:color="auto"/>
                  </w:divBdr>
                  <w:divsChild>
                    <w:div w:id="3920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9108">
      <w:bodyDiv w:val="1"/>
      <w:marLeft w:val="0"/>
      <w:marRight w:val="0"/>
      <w:marTop w:val="0"/>
      <w:marBottom w:val="0"/>
      <w:divBdr>
        <w:top w:val="none" w:sz="0" w:space="0" w:color="auto"/>
        <w:left w:val="none" w:sz="0" w:space="0" w:color="auto"/>
        <w:bottom w:val="none" w:sz="0" w:space="0" w:color="auto"/>
        <w:right w:val="none" w:sz="0" w:space="0" w:color="auto"/>
      </w:divBdr>
    </w:div>
    <w:div w:id="1679848400">
      <w:bodyDiv w:val="1"/>
      <w:marLeft w:val="0"/>
      <w:marRight w:val="0"/>
      <w:marTop w:val="0"/>
      <w:marBottom w:val="0"/>
      <w:divBdr>
        <w:top w:val="none" w:sz="0" w:space="0" w:color="auto"/>
        <w:left w:val="none" w:sz="0" w:space="0" w:color="auto"/>
        <w:bottom w:val="none" w:sz="0" w:space="0" w:color="auto"/>
        <w:right w:val="none" w:sz="0" w:space="0" w:color="auto"/>
      </w:divBdr>
    </w:div>
    <w:div w:id="1770924944">
      <w:bodyDiv w:val="1"/>
      <w:marLeft w:val="0"/>
      <w:marRight w:val="0"/>
      <w:marTop w:val="0"/>
      <w:marBottom w:val="0"/>
      <w:divBdr>
        <w:top w:val="none" w:sz="0" w:space="0" w:color="auto"/>
        <w:left w:val="none" w:sz="0" w:space="0" w:color="auto"/>
        <w:bottom w:val="none" w:sz="0" w:space="0" w:color="auto"/>
        <w:right w:val="none" w:sz="0" w:space="0" w:color="auto"/>
      </w:divBdr>
    </w:div>
    <w:div w:id="1897082246">
      <w:bodyDiv w:val="1"/>
      <w:marLeft w:val="0"/>
      <w:marRight w:val="0"/>
      <w:marTop w:val="0"/>
      <w:marBottom w:val="0"/>
      <w:divBdr>
        <w:top w:val="none" w:sz="0" w:space="0" w:color="auto"/>
        <w:left w:val="none" w:sz="0" w:space="0" w:color="auto"/>
        <w:bottom w:val="none" w:sz="0" w:space="0" w:color="auto"/>
        <w:right w:val="none" w:sz="0" w:space="0" w:color="auto"/>
      </w:divBdr>
    </w:div>
    <w:div w:id="1959213192">
      <w:bodyDiv w:val="1"/>
      <w:marLeft w:val="0"/>
      <w:marRight w:val="0"/>
      <w:marTop w:val="0"/>
      <w:marBottom w:val="0"/>
      <w:divBdr>
        <w:top w:val="none" w:sz="0" w:space="0" w:color="auto"/>
        <w:left w:val="none" w:sz="0" w:space="0" w:color="auto"/>
        <w:bottom w:val="none" w:sz="0" w:space="0" w:color="auto"/>
        <w:right w:val="none" w:sz="0" w:space="0" w:color="auto"/>
      </w:divBdr>
    </w:div>
    <w:div w:id="2107382797">
      <w:bodyDiv w:val="1"/>
      <w:marLeft w:val="0"/>
      <w:marRight w:val="0"/>
      <w:marTop w:val="0"/>
      <w:marBottom w:val="0"/>
      <w:divBdr>
        <w:top w:val="none" w:sz="0" w:space="0" w:color="auto"/>
        <w:left w:val="none" w:sz="0" w:space="0" w:color="auto"/>
        <w:bottom w:val="none" w:sz="0" w:space="0" w:color="auto"/>
        <w:right w:val="none" w:sz="0" w:space="0" w:color="auto"/>
      </w:divBdr>
    </w:div>
    <w:div w:id="21413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medicine-and-dentistry/neuropathy" TargetMode="External"/><Relationship Id="rId117" Type="http://schemas.openxmlformats.org/officeDocument/2006/relationships/hyperlink" Target="https://www.sciencedirect.com/science/article/pii/S1053811919309073" TargetMode="External"/><Relationship Id="rId21" Type="http://schemas.openxmlformats.org/officeDocument/2006/relationships/hyperlink" Target="https://www.sciencedirect.com/science/article/pii/S1053811919309073" TargetMode="External"/><Relationship Id="rId42" Type="http://schemas.openxmlformats.org/officeDocument/2006/relationships/hyperlink" Target="https://www.sciencedirect.com/topics/medicine-and-dentistry/supine-position" TargetMode="External"/><Relationship Id="rId47" Type="http://schemas.openxmlformats.org/officeDocument/2006/relationships/hyperlink" Target="https://www.sciencedirect.com/science/article/pii/S1053811919309073" TargetMode="External"/><Relationship Id="rId63" Type="http://schemas.openxmlformats.org/officeDocument/2006/relationships/hyperlink" Target="http://afni.nimh.nih.gov/" TargetMode="External"/><Relationship Id="rId68" Type="http://schemas.openxmlformats.org/officeDocument/2006/relationships/hyperlink" Target="https://www.sciencedirect.com/science/article/pii/S1053811919309073" TargetMode="External"/><Relationship Id="rId84" Type="http://schemas.openxmlformats.org/officeDocument/2006/relationships/hyperlink" Target="https://www.sciencedirect.com/topics/medicine-and-dentistry/sigmoid" TargetMode="External"/><Relationship Id="rId89" Type="http://schemas.openxmlformats.org/officeDocument/2006/relationships/hyperlink" Target="https://www.sciencedirect.com/topics/medicine-and-dentistry/deep-sedation" TargetMode="External"/><Relationship Id="rId112" Type="http://schemas.openxmlformats.org/officeDocument/2006/relationships/image" Target="media/image14.jpeg"/><Relationship Id="rId133" Type="http://schemas.openxmlformats.org/officeDocument/2006/relationships/hyperlink" Target="https://www.sciencedirect.com/topics/medicine-and-dentistry/fluorodeoxyglucose" TargetMode="External"/><Relationship Id="rId138" Type="http://schemas.openxmlformats.org/officeDocument/2006/relationships/hyperlink" Target="https://www.sciencedirect.com/science/article/pii/S1053811919309073" TargetMode="External"/><Relationship Id="rId16" Type="http://schemas.openxmlformats.org/officeDocument/2006/relationships/hyperlink" Target="https://www.sciencedirect.com/topics/medicine-and-dentistry/sevoflurane" TargetMode="External"/><Relationship Id="rId107" Type="http://schemas.openxmlformats.org/officeDocument/2006/relationships/image" Target="media/image13.jpeg"/><Relationship Id="rId11" Type="http://schemas.openxmlformats.org/officeDocument/2006/relationships/hyperlink" Target="https://www.sciencedirect.com/topics/medicine-and-dentistry/positron-emission-tomography" TargetMode="External"/><Relationship Id="rId32" Type="http://schemas.openxmlformats.org/officeDocument/2006/relationships/hyperlink" Target="https://www.sciencedirect.com/topics/medicine-and-dentistry/tracheal-intubation" TargetMode="External"/><Relationship Id="rId37" Type="http://schemas.openxmlformats.org/officeDocument/2006/relationships/hyperlink" Target="https://www.sciencedirect.com/topics/medicine-and-dentistry/ramsay-sedation-scale" TargetMode="External"/><Relationship Id="rId53" Type="http://schemas.openxmlformats.org/officeDocument/2006/relationships/hyperlink" Target="https://www.sciencedirect.com/topics/medicine-and-dentistry/minimally-conscious-state" TargetMode="External"/><Relationship Id="rId58" Type="http://schemas.openxmlformats.org/officeDocument/2006/relationships/image" Target="media/image2.png"/><Relationship Id="rId74" Type="http://schemas.openxmlformats.org/officeDocument/2006/relationships/hyperlink" Target="https://www.sciencedirect.com/science/article/pii/S1053811919309073" TargetMode="External"/><Relationship Id="rId79" Type="http://schemas.openxmlformats.org/officeDocument/2006/relationships/image" Target="media/image9.jpeg"/><Relationship Id="rId102" Type="http://schemas.openxmlformats.org/officeDocument/2006/relationships/hyperlink" Target="https://www.sciencedirect.com/topics/medicine-and-dentistry/univariate-analysis" TargetMode="External"/><Relationship Id="rId123" Type="http://schemas.openxmlformats.org/officeDocument/2006/relationships/hyperlink" Target="https://www.sciencedirect.com/topics/medicine-and-dentistry/minimally-conscious-state" TargetMode="External"/><Relationship Id="rId128" Type="http://schemas.openxmlformats.org/officeDocument/2006/relationships/hyperlink" Target="https://www.sciencedirect.com/science/article/pii/S1053811919309073" TargetMode="External"/><Relationship Id="rId144" Type="http://schemas.openxmlformats.org/officeDocument/2006/relationships/fontTable" Target="fontTable.xml"/><Relationship Id="rId5" Type="http://schemas.openxmlformats.org/officeDocument/2006/relationships/hyperlink" Target="https://www.sciencedirect.com/topics/medicine-and-dentistry/disorders-of-consciousness" TargetMode="External"/><Relationship Id="rId90" Type="http://schemas.openxmlformats.org/officeDocument/2006/relationships/hyperlink" Target="https://www.sciencedirect.com/topics/medicine-and-dentistry/functional-connectivity" TargetMode="External"/><Relationship Id="rId95" Type="http://schemas.openxmlformats.org/officeDocument/2006/relationships/hyperlink" Target="https://www.sciencedirect.com/topics/medicine-and-dentistry/unconsciousness" TargetMode="External"/><Relationship Id="rId22" Type="http://schemas.openxmlformats.org/officeDocument/2006/relationships/hyperlink" Target="https://www.sciencedirect.com/topics/medicine-and-dentistry/informed-consent" TargetMode="External"/><Relationship Id="rId27" Type="http://schemas.openxmlformats.org/officeDocument/2006/relationships/hyperlink" Target="https://www.sciencedirect.com/topics/medicine-and-dentistry/general-anaesthesia" TargetMode="External"/><Relationship Id="rId43" Type="http://schemas.openxmlformats.org/officeDocument/2006/relationships/hyperlink" Target="https://www.sciencedirect.com/science/article/pii/S1053811919309073" TargetMode="External"/><Relationship Id="rId48" Type="http://schemas.openxmlformats.org/officeDocument/2006/relationships/hyperlink" Target="https://www.sciencedirect.com/topics/medicine-and-dentistry/pulse-oximetry" TargetMode="External"/><Relationship Id="rId64" Type="http://schemas.openxmlformats.org/officeDocument/2006/relationships/hyperlink" Target="https://www.sciencedirect.com/science/article/pii/S1053811919309073" TargetMode="External"/><Relationship Id="rId69" Type="http://schemas.openxmlformats.org/officeDocument/2006/relationships/image" Target="media/image7.jpeg"/><Relationship Id="rId113" Type="http://schemas.openxmlformats.org/officeDocument/2006/relationships/hyperlink" Target="https://www.sciencedirect.com/topics/medicine-and-dentistry/functional-connectivity" TargetMode="External"/><Relationship Id="rId118" Type="http://schemas.openxmlformats.org/officeDocument/2006/relationships/image" Target="media/image15.jpeg"/><Relationship Id="rId134" Type="http://schemas.openxmlformats.org/officeDocument/2006/relationships/hyperlink" Target="https://www.sciencedirect.com/topics/medicine-and-dentistry/positron-emission-tomography" TargetMode="External"/><Relationship Id="rId139" Type="http://schemas.openxmlformats.org/officeDocument/2006/relationships/hyperlink" Target="https://keras.io/" TargetMode="External"/><Relationship Id="rId80" Type="http://schemas.openxmlformats.org/officeDocument/2006/relationships/hyperlink" Target="https://www.sciencedirect.com/topics/neuroscience/support-vector-machine" TargetMode="External"/><Relationship Id="rId85" Type="http://schemas.openxmlformats.org/officeDocument/2006/relationships/hyperlink" Target="https://www.sciencedirect.com/topics/medicine-and-dentistry/multivariate-analysis" TargetMode="External"/><Relationship Id="rId3" Type="http://schemas.openxmlformats.org/officeDocument/2006/relationships/settings" Target="settings.xml"/><Relationship Id="rId12" Type="http://schemas.openxmlformats.org/officeDocument/2006/relationships/hyperlink" Target="https://www.sciencedirect.com/topics/medicine-and-dentistry/unconsciousness" TargetMode="External"/><Relationship Id="rId17" Type="http://schemas.openxmlformats.org/officeDocument/2006/relationships/hyperlink" Target="https://www.sciencedirect.com/topics/neuroscience/support-vector-machine" TargetMode="External"/><Relationship Id="rId25" Type="http://schemas.openxmlformats.org/officeDocument/2006/relationships/hyperlink" Target="https://www.sciencedirect.com/topics/medicine-and-dentistry/craniotomy" TargetMode="External"/><Relationship Id="rId33" Type="http://schemas.openxmlformats.org/officeDocument/2006/relationships/hyperlink" Target="https://www.sciencedirect.com/topics/medicine-and-dentistry/fresh-gas-flow" TargetMode="External"/><Relationship Id="rId38" Type="http://schemas.openxmlformats.org/officeDocument/2006/relationships/hyperlink" Target="https://www.sciencedirect.com/topics/medicine-and-dentistry/disorders-of-consciousness" TargetMode="External"/><Relationship Id="rId46" Type="http://schemas.openxmlformats.org/officeDocument/2006/relationships/hyperlink" Target="https://www.sciencedirect.com/topics/medicine-and-dentistry/drug-infusion" TargetMode="External"/><Relationship Id="rId59" Type="http://schemas.openxmlformats.org/officeDocument/2006/relationships/image" Target="media/image3.png"/><Relationship Id="rId67" Type="http://schemas.openxmlformats.org/officeDocument/2006/relationships/hyperlink" Target="https://www.sciencedirect.com/topics/medicine-and-dentistry/cerebrospinal-fluid" TargetMode="External"/><Relationship Id="rId103" Type="http://schemas.openxmlformats.org/officeDocument/2006/relationships/hyperlink" Target="https://www.sciencedirect.com/topics/neuroscience/support-vector-machine" TargetMode="External"/><Relationship Id="rId108" Type="http://schemas.openxmlformats.org/officeDocument/2006/relationships/hyperlink" Target="https://www.sciencedirect.com/topics/neuroscience/support-vector-machine" TargetMode="External"/><Relationship Id="rId116" Type="http://schemas.openxmlformats.org/officeDocument/2006/relationships/hyperlink" Target="https://www.sciencedirect.com/science/article/pii/S1053811919309073" TargetMode="External"/><Relationship Id="rId124" Type="http://schemas.openxmlformats.org/officeDocument/2006/relationships/hyperlink" Target="https://www.sciencedirect.com/topics/medicine-and-dentistry/disorders-of-consciousness" TargetMode="External"/><Relationship Id="rId129" Type="http://schemas.openxmlformats.org/officeDocument/2006/relationships/hyperlink" Target="https://www.sciencedirect.com/topics/medicine-and-dentistry/disorders-of-consciousness" TargetMode="External"/><Relationship Id="rId137" Type="http://schemas.openxmlformats.org/officeDocument/2006/relationships/hyperlink" Target="https://www.sciencedirect.com/topics/neuroscience/artificial-neural-network" TargetMode="External"/><Relationship Id="rId20" Type="http://schemas.openxmlformats.org/officeDocument/2006/relationships/hyperlink" Target="https://www.sciencedirect.com/topics/medicine-and-dentistry/disorders-of-consciousness" TargetMode="External"/><Relationship Id="rId41" Type="http://schemas.openxmlformats.org/officeDocument/2006/relationships/hyperlink" Target="https://www.sciencedirect.com/topics/medicine-and-dentistry/earplug" TargetMode="External"/><Relationship Id="rId54" Type="http://schemas.openxmlformats.org/officeDocument/2006/relationships/hyperlink" Target="https://www.sciencedirect.com/topics/medicine-and-dentistry/disorders-of-consciousness" TargetMode="External"/><Relationship Id="rId62" Type="http://schemas.openxmlformats.org/officeDocument/2006/relationships/image" Target="media/image6.png"/><Relationship Id="rId70" Type="http://schemas.openxmlformats.org/officeDocument/2006/relationships/hyperlink" Target="https://www.sciencedirect.com/science/article/pii/S1053811919309073" TargetMode="External"/><Relationship Id="rId75" Type="http://schemas.openxmlformats.org/officeDocument/2006/relationships/hyperlink" Target="https://www.sciencedirect.com/topics/medicine-and-dentistry/unconsciousness" TargetMode="External"/><Relationship Id="rId83" Type="http://schemas.openxmlformats.org/officeDocument/2006/relationships/hyperlink" Target="https://www.sciencedirect.com/science/article/pii/S1053811919309073" TargetMode="External"/><Relationship Id="rId88" Type="http://schemas.openxmlformats.org/officeDocument/2006/relationships/image" Target="media/image10.jpeg"/><Relationship Id="rId91" Type="http://schemas.openxmlformats.org/officeDocument/2006/relationships/hyperlink" Target="https://www.sciencedirect.com/topics/medicine-and-dentistry/disorders-of-consciousness" TargetMode="External"/><Relationship Id="rId96" Type="http://schemas.openxmlformats.org/officeDocument/2006/relationships/hyperlink" Target="https://www.sciencedirect.com/topics/medicine-and-dentistry/functional-connectivity" TargetMode="External"/><Relationship Id="rId111" Type="http://schemas.openxmlformats.org/officeDocument/2006/relationships/hyperlink" Target="https://www.sciencedirect.com/topics/medicine-and-dentistry/disorders-of-consciousness" TargetMode="External"/><Relationship Id="rId132" Type="http://schemas.openxmlformats.org/officeDocument/2006/relationships/hyperlink" Target="https://www.sciencedirect.com/topics/medicine-and-dentistry/dorsal-attention-network" TargetMode="External"/><Relationship Id="rId140" Type="http://schemas.openxmlformats.org/officeDocument/2006/relationships/hyperlink" Target="https://www.sciencedirect.com/topics/neuroscience/neural-correlates-of-consciousness"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medicine-and-dentistry/central-nervous-system" TargetMode="External"/><Relationship Id="rId15" Type="http://schemas.openxmlformats.org/officeDocument/2006/relationships/hyperlink" Target="https://www.sciencedirect.com/topics/medicine-and-dentistry/ketamine" TargetMode="External"/><Relationship Id="rId23" Type="http://schemas.openxmlformats.org/officeDocument/2006/relationships/hyperlink" Target="https://www.sciencedirect.com/topics/medicine-and-dentistry/pituitary-adenoma" TargetMode="External"/><Relationship Id="rId28" Type="http://schemas.openxmlformats.org/officeDocument/2006/relationships/hyperlink" Target="https://www.sciencedirect.com/topics/medicine-and-dentistry/intravenous-anesthetic-agent" TargetMode="External"/><Relationship Id="rId36" Type="http://schemas.openxmlformats.org/officeDocument/2006/relationships/image" Target="media/image1.jpeg"/><Relationship Id="rId49" Type="http://schemas.openxmlformats.org/officeDocument/2006/relationships/hyperlink" Target="https://www.sciencedirect.com/topics/medicine-and-dentistry/nasal-cannula" TargetMode="External"/><Relationship Id="rId57" Type="http://schemas.openxmlformats.org/officeDocument/2006/relationships/hyperlink" Target="https://www.sciencedirect.com/topics/medicine-and-dentistry/cerebral-hemorrhage" TargetMode="External"/><Relationship Id="rId106" Type="http://schemas.openxmlformats.org/officeDocument/2006/relationships/hyperlink" Target="https://www.sciencedirect.com/science/article/pii/S1053811919309073" TargetMode="External"/><Relationship Id="rId114" Type="http://schemas.openxmlformats.org/officeDocument/2006/relationships/hyperlink" Target="https://www.sciencedirect.com/topics/medicine-and-dentistry/disorders-of-consciousness" TargetMode="External"/><Relationship Id="rId119" Type="http://schemas.openxmlformats.org/officeDocument/2006/relationships/hyperlink" Target="https://www.sciencedirect.com/topics/neuroscience/support-vector-machine" TargetMode="External"/><Relationship Id="rId127" Type="http://schemas.openxmlformats.org/officeDocument/2006/relationships/hyperlink" Target="https://www.sciencedirect.com/science/article/pii/S1053811919309073" TargetMode="External"/><Relationship Id="rId10" Type="http://schemas.openxmlformats.org/officeDocument/2006/relationships/hyperlink" Target="https://www.sciencedirect.com/topics/neuroscience/neural-correlates-of-consciousness" TargetMode="External"/><Relationship Id="rId31" Type="http://schemas.openxmlformats.org/officeDocument/2006/relationships/hyperlink" Target="https://www.sciencedirect.com/topics/medicine-and-dentistry/suxamethonium" TargetMode="External"/><Relationship Id="rId44" Type="http://schemas.openxmlformats.org/officeDocument/2006/relationships/hyperlink" Target="https://www.sciencedirect.com/science/article/pii/S1053811919309073" TargetMode="External"/><Relationship Id="rId52" Type="http://schemas.openxmlformats.org/officeDocument/2006/relationships/hyperlink" Target="https://www.sciencedirect.com/science/article/pii/S1053811919309073" TargetMode="External"/><Relationship Id="rId60" Type="http://schemas.openxmlformats.org/officeDocument/2006/relationships/image" Target="media/image4.png"/><Relationship Id="rId65" Type="http://schemas.openxmlformats.org/officeDocument/2006/relationships/hyperlink" Target="https://www.sciencedirect.com/topics/medicine-and-dentistry/spatial-normalization" TargetMode="External"/><Relationship Id="rId73" Type="http://schemas.openxmlformats.org/officeDocument/2006/relationships/hyperlink" Target="https://www.sciencedirect.com/topics/medicine-and-dentistry/functional-connectivity" TargetMode="External"/><Relationship Id="rId78" Type="http://schemas.openxmlformats.org/officeDocument/2006/relationships/hyperlink" Target="https://keras.io/" TargetMode="External"/><Relationship Id="rId81" Type="http://schemas.openxmlformats.org/officeDocument/2006/relationships/hyperlink" Target="https://www.sciencedirect.com/topics/neuroscience/artificial-neural-network" TargetMode="External"/><Relationship Id="rId86" Type="http://schemas.openxmlformats.org/officeDocument/2006/relationships/hyperlink" Target="https://www.sciencedirect.com/topics/medicine-and-dentistry/univariate-analysis" TargetMode="External"/><Relationship Id="rId94" Type="http://schemas.openxmlformats.org/officeDocument/2006/relationships/hyperlink" Target="https://www.sciencedirect.com/topics/medicine-and-dentistry/functional-connectivity" TargetMode="External"/><Relationship Id="rId99" Type="http://schemas.openxmlformats.org/officeDocument/2006/relationships/image" Target="media/image12.jpeg"/><Relationship Id="rId101" Type="http://schemas.openxmlformats.org/officeDocument/2006/relationships/hyperlink" Target="https://www.sciencedirect.com/topics/medicine-and-dentistry/functional-connectivity" TargetMode="External"/><Relationship Id="rId122" Type="http://schemas.openxmlformats.org/officeDocument/2006/relationships/image" Target="media/image16.jpeg"/><Relationship Id="rId130" Type="http://schemas.openxmlformats.org/officeDocument/2006/relationships/hyperlink" Target="https://www.sciencedirect.com/topics/medicine-and-dentistry/functional-connectivity" TargetMode="External"/><Relationship Id="rId135" Type="http://schemas.openxmlformats.org/officeDocument/2006/relationships/hyperlink" Target="https://www.sciencedirect.com/science/article/pii/S1053811919309073" TargetMode="External"/><Relationship Id="rId143" Type="http://schemas.openxmlformats.org/officeDocument/2006/relationships/hyperlink" Target="https://www.sciencedirect.com/science/article/pii/S1053811919309073" TargetMode="External"/><Relationship Id="rId4" Type="http://schemas.openxmlformats.org/officeDocument/2006/relationships/webSettings" Target="webSettings.xml"/><Relationship Id="rId9" Type="http://schemas.openxmlformats.org/officeDocument/2006/relationships/hyperlink" Target="https://www.sciencedirect.com/topics/medicine-and-dentistry/propofol" TargetMode="External"/><Relationship Id="rId13" Type="http://schemas.openxmlformats.org/officeDocument/2006/relationships/hyperlink" Target="https://www.sciencedirect.com/topics/medicine-and-dentistry/minimally-conscious-state" TargetMode="External"/><Relationship Id="rId18" Type="http://schemas.openxmlformats.org/officeDocument/2006/relationships/hyperlink" Target="https://www.sciencedirect.com/topics/medicine-and-dentistry/propofol" TargetMode="External"/><Relationship Id="rId39" Type="http://schemas.openxmlformats.org/officeDocument/2006/relationships/hyperlink" Target="https://www.sciencedirect.com/topics/medicine-and-dentistry/intermittent-positive-pressure-breathing" TargetMode="External"/><Relationship Id="rId109" Type="http://schemas.openxmlformats.org/officeDocument/2006/relationships/hyperlink" Target="https://www.sciencedirect.com/topics/neuroscience/artificial-neural-network" TargetMode="External"/><Relationship Id="rId34" Type="http://schemas.openxmlformats.org/officeDocument/2006/relationships/hyperlink" Target="https://www.sciencedirect.com/topics/medicine-and-dentistry/ramsay-sedation-scale" TargetMode="External"/><Relationship Id="rId50" Type="http://schemas.openxmlformats.org/officeDocument/2006/relationships/hyperlink" Target="https://www.sciencedirect.com/science/article/pii/S1053811919309073" TargetMode="External"/><Relationship Id="rId55" Type="http://schemas.openxmlformats.org/officeDocument/2006/relationships/hyperlink" Target="https://www.sciencedirect.com/topics/medicine-and-dentistry/minimally-conscious-state" TargetMode="External"/><Relationship Id="rId76" Type="http://schemas.openxmlformats.org/officeDocument/2006/relationships/hyperlink" Target="https://www.sciencedirect.com/topics/neuroscience/support-vector-machine" TargetMode="External"/><Relationship Id="rId97" Type="http://schemas.openxmlformats.org/officeDocument/2006/relationships/hyperlink" Target="https://www.sciencedirect.com/science/article/pii/S1053811919309073" TargetMode="External"/><Relationship Id="rId104" Type="http://schemas.openxmlformats.org/officeDocument/2006/relationships/hyperlink" Target="https://www.sciencedirect.com/science/article/pii/S1053811919309073" TargetMode="External"/><Relationship Id="rId120" Type="http://schemas.openxmlformats.org/officeDocument/2006/relationships/hyperlink" Target="https://www.sciencedirect.com/topics/medicine-and-dentistry/anesthetic-recovery" TargetMode="External"/><Relationship Id="rId125" Type="http://schemas.openxmlformats.org/officeDocument/2006/relationships/hyperlink" Target="https://www.sciencedirect.com/topics/medicine-and-dentistry/unconsciousness" TargetMode="External"/><Relationship Id="rId141" Type="http://schemas.openxmlformats.org/officeDocument/2006/relationships/hyperlink" Target="https://www.sciencedirect.com/science/article/pii/S1053811919309073" TargetMode="External"/><Relationship Id="rId7" Type="http://schemas.openxmlformats.org/officeDocument/2006/relationships/hyperlink" Target="https://www.sciencedirect.com/topics/medicine-and-dentistry/anesthesia-awareness" TargetMode="External"/><Relationship Id="rId71" Type="http://schemas.openxmlformats.org/officeDocument/2006/relationships/hyperlink" Target="https://www.sciencedirect.com/topics/medicine-and-dentistry/functional-connectivity" TargetMode="External"/><Relationship Id="rId92" Type="http://schemas.openxmlformats.org/officeDocument/2006/relationships/image" Target="media/image11.jpeg"/><Relationship Id="rId2" Type="http://schemas.openxmlformats.org/officeDocument/2006/relationships/styles" Target="styles.xml"/><Relationship Id="rId29" Type="http://schemas.openxmlformats.org/officeDocument/2006/relationships/hyperlink" Target="https://www.sciencedirect.com/topics/medicine-and-dentistry/pharmacokinetics" TargetMode="External"/><Relationship Id="rId24" Type="http://schemas.openxmlformats.org/officeDocument/2006/relationships/hyperlink" Target="https://www.sciencedirect.com/topics/medicine-and-dentistry/radiodiagnosis" TargetMode="External"/><Relationship Id="rId40" Type="http://schemas.openxmlformats.org/officeDocument/2006/relationships/hyperlink" Target="https://www.sciencedirect.com/topics/medicine-and-dentistry/tidal-volume" TargetMode="External"/><Relationship Id="rId45" Type="http://schemas.openxmlformats.org/officeDocument/2006/relationships/hyperlink" Target="https://www.sciencedirect.com/topics/medicine-and-dentistry/infusion-rate" TargetMode="External"/><Relationship Id="rId66" Type="http://schemas.openxmlformats.org/officeDocument/2006/relationships/hyperlink" Target="https://www.sciencedirect.com/topics/medicine-and-dentistry/linear-regression-analysis" TargetMode="External"/><Relationship Id="rId87" Type="http://schemas.openxmlformats.org/officeDocument/2006/relationships/hyperlink" Target="https://github.com/Justin-Campbell/ML-Anes-DOC" TargetMode="External"/><Relationship Id="rId110" Type="http://schemas.openxmlformats.org/officeDocument/2006/relationships/hyperlink" Target="https://www.sciencedirect.com/topics/medicine-and-dentistry/disorders-of-consciousness" TargetMode="External"/><Relationship Id="rId115" Type="http://schemas.openxmlformats.org/officeDocument/2006/relationships/hyperlink" Target="https://www.sciencedirect.com/topics/medicine-and-dentistry/signal-to-noise-ratio" TargetMode="External"/><Relationship Id="rId131" Type="http://schemas.openxmlformats.org/officeDocument/2006/relationships/hyperlink" Target="https://www.sciencedirect.com/topics/medicine-and-dentistry/multisensory-integration" TargetMode="External"/><Relationship Id="rId136" Type="http://schemas.openxmlformats.org/officeDocument/2006/relationships/hyperlink" Target="https://www.sciencedirect.com/science/article/pii/S1053811919309073" TargetMode="External"/><Relationship Id="rId61" Type="http://schemas.openxmlformats.org/officeDocument/2006/relationships/image" Target="media/image5.png"/><Relationship Id="rId82" Type="http://schemas.openxmlformats.org/officeDocument/2006/relationships/hyperlink" Target="https://www.sciencedirect.com/science/article/pii/S1053811919309073" TargetMode="External"/><Relationship Id="rId19" Type="http://schemas.openxmlformats.org/officeDocument/2006/relationships/hyperlink" Target="https://www.sciencedirect.com/topics/medicine-and-dentistry/sevoflurane" TargetMode="External"/><Relationship Id="rId14" Type="http://schemas.openxmlformats.org/officeDocument/2006/relationships/hyperlink" Target="https://www.sciencedirect.com/topics/neuroscience/traumatic-brain-injury" TargetMode="External"/><Relationship Id="rId30" Type="http://schemas.openxmlformats.org/officeDocument/2006/relationships/hyperlink" Target="https://www.sciencedirect.com/topics/medicine-and-dentistry/remifentanil" TargetMode="External"/><Relationship Id="rId35" Type="http://schemas.openxmlformats.org/officeDocument/2006/relationships/hyperlink" Target="https://www.sciencedirect.com/topics/medicine-and-dentistry/deep-sedation" TargetMode="External"/><Relationship Id="rId56" Type="http://schemas.openxmlformats.org/officeDocument/2006/relationships/hyperlink" Target="https://www.sciencedirect.com/topics/neuroscience/traumatic-brain-injury" TargetMode="External"/><Relationship Id="rId77" Type="http://schemas.openxmlformats.org/officeDocument/2006/relationships/hyperlink" Target="https://www.sciencedirect.com/topics/neuroscience/artificial-neural-network" TargetMode="External"/><Relationship Id="rId100" Type="http://schemas.openxmlformats.org/officeDocument/2006/relationships/hyperlink" Target="https://www.sciencedirect.com/topics/medicine-and-dentistry/disorders-of-consciousness" TargetMode="External"/><Relationship Id="rId105" Type="http://schemas.openxmlformats.org/officeDocument/2006/relationships/hyperlink" Target="https://www.sciencedirect.com/topics/neuroscience/artificial-neural-network" TargetMode="External"/><Relationship Id="rId126" Type="http://schemas.openxmlformats.org/officeDocument/2006/relationships/hyperlink" Target="https://www.sciencedirect.com/topics/medicine-and-dentistry/minimally-conscious-state" TargetMode="External"/><Relationship Id="rId8" Type="http://schemas.openxmlformats.org/officeDocument/2006/relationships/hyperlink" Target="https://www.sciencedirect.com/topics/medicine-and-dentistry/general-anaesthesia" TargetMode="External"/><Relationship Id="rId51" Type="http://schemas.openxmlformats.org/officeDocument/2006/relationships/hyperlink" Target="https://www.sciencedirect.com/science/article/pii/S1053811919309073" TargetMode="External"/><Relationship Id="rId72" Type="http://schemas.openxmlformats.org/officeDocument/2006/relationships/image" Target="media/image8.png"/><Relationship Id="rId93" Type="http://schemas.openxmlformats.org/officeDocument/2006/relationships/hyperlink" Target="https://www.sciencedirect.com/topics/medicine-and-dentistry/disorders-of-consciousness" TargetMode="External"/><Relationship Id="rId98" Type="http://schemas.openxmlformats.org/officeDocument/2006/relationships/hyperlink" Target="https://www.sciencedirect.com/science/article/pii/S1053811919309073" TargetMode="External"/><Relationship Id="rId121" Type="http://schemas.openxmlformats.org/officeDocument/2006/relationships/hyperlink" Target="https://www.sciencedirect.com/topics/medicine-and-dentistry/minimally-conscious-state" TargetMode="External"/><Relationship Id="rId142" Type="http://schemas.openxmlformats.org/officeDocument/2006/relationships/hyperlink" Target="https://www.sciencedirect.com/science/article/pii/S1053811919309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32</Pages>
  <Words>14922</Words>
  <Characters>85059</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Awal Shuvo</dc:creator>
  <cp:keywords/>
  <dc:description/>
  <cp:lastModifiedBy>MD Rabiul Awal Shuvo</cp:lastModifiedBy>
  <cp:revision>3</cp:revision>
  <dcterms:created xsi:type="dcterms:W3CDTF">2022-01-19T14:19:00Z</dcterms:created>
  <dcterms:modified xsi:type="dcterms:W3CDTF">2022-01-20T19:11:00Z</dcterms:modified>
</cp:coreProperties>
</file>