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color w:val="auto"/>
          <w:sz w:val="28"/>
          <w:szCs w:val="28"/>
          <w:u w:val="single"/>
        </w:rPr>
      </w:pPr>
      <w:r>
        <w:rPr>
          <w:b/>
          <w:bCs/>
          <w:color w:val="auto"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  <w:color w:val="auto"/>
        </w:rPr>
      </w:pPr>
    </w:p>
    <w:p>
      <w:pPr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  <w:color w:val="auto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</w:rPr>
              <m:t>σ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p>
            <m:r>
              <m:rPr/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i/>
                <w:color w:val="auto"/>
              </w:rPr>
            </m:ctrlPr>
          </m:sup>
        </m:sSup>
      </m:oMath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auto"/>
              </w:rPr>
            </w:pPr>
            <w:r>
              <w:rPr>
                <w:rFonts w:eastAsia="Times New Roman" w:cs="Times New Roman"/>
                <w:b/>
                <w:color w:val="auto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auto"/>
              </w:rPr>
            </w:pPr>
            <w:r>
              <w:rPr>
                <w:rFonts w:eastAsia="Times New Roman" w:cs="Times New Roman"/>
                <w:b/>
                <w:color w:val="auto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</w:rPr>
            </w:pPr>
            <w:r>
              <w:rPr>
                <w:rFonts w:eastAsia="Times New Roman" w:cs="Times New Roman"/>
                <w:color w:val="auto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color w:val="auto"/>
        </w:rPr>
      </w:pPr>
    </w:p>
    <w:p>
      <w:pPr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00525" cy="2438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ind w:left="0"/>
        <w:rPr>
          <w:color w:val="auto"/>
        </w:rPr>
      </w:pPr>
      <w:r>
        <w:rPr>
          <w:color w:val="auto"/>
        </w:rPr>
        <w:drawing>
          <wp:inline distT="0" distB="0" distL="0" distR="0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BEBEBE">
                            <a:alpha val="100000"/>
                          </a:srgbClr>
                        </a:clrFrom>
                        <a:clrTo>
                          <a:srgbClr val="BEBEBE">
                            <a:alpha val="100000"/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>Answer the following three questions based on the box-plot above.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>What is inter-quartile range of this dataset? (please approximate the numbers) In one line, explain what this value implies.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>What can we say about the skewness of this dataset?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  <w:rPr>
          <w:color w:val="auto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0"/>
        <w:ind w:left="1265" w:leftChars="0" w:hanging="425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 xml:space="preserve">IQR- 5-12. 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/>
        <w:ind w:left="1265" w:leftChars="0" w:hanging="425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RIGHT SKEWNESS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0"/>
        <w:ind w:left="1265" w:leftChars="0" w:hanging="425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BOX PLOT REMAINS SAME ONLY THE VALUE/SCALE WILL BE DIVISION OF 10 SO THE IQR VALUE WILL BE FROM 0.5-1.2</w:t>
      </w: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ind w:left="840" w:leftChars="0"/>
        <w:rPr>
          <w:rFonts w:hint="default"/>
          <w:color w:val="FF0000"/>
          <w:lang w:val="en-IN"/>
        </w:rPr>
      </w:pPr>
    </w:p>
    <w:p>
      <w:pPr>
        <w:pStyle w:val="9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ind w:left="0"/>
        <w:rPr>
          <w:color w:val="auto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645795</wp:posOffset>
                </wp:positionV>
                <wp:extent cx="4565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1610" y="4043045"/>
                          <a:ext cx="456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8pt;margin-top:50.85pt;height:0pt;width:359.5pt;z-index:251659264;mso-width-relative:page;mso-height-relative:page;" filled="f" stroked="t" coordsize="21600,21600" o:gfxdata="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b1CQ1wAAAAsBAAAPAAAAAAAAAAEAIAAAACIAAABkcnMvZG93bnJldi54bWxQSwECFAAU&#10;AAAACACHTuJAOKaDb/IBAADiAwAADgAAAAAAAAABACAAAAAmAQAAZHJzL2Uyb0RvYy54bWxQSwUG&#10;AAAAAAYABgBZAQAAigUAAAAA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5744210</wp:posOffset>
                </wp:positionH>
                <wp:positionV relativeFrom="paragraph">
                  <wp:posOffset>508000</wp:posOffset>
                </wp:positionV>
                <wp:extent cx="1046480" cy="286385"/>
                <wp:effectExtent l="12700" t="12700" r="2286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04660" y="4049395"/>
                          <a:ext cx="1046480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right="-277" w:rightChars="-126" w:firstLine="0" w:firstLineChars="0"/>
                              <w:rPr>
                                <w:rFonts w:hint="default"/>
                                <w:color w:val="FF0000"/>
                                <w:sz w:val="20"/>
                                <w:szCs w:val="20"/>
                                <w:lang w:val="en-I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0"/>
                                <w:szCs w:val="20"/>
                                <w:lang w:val="en-IN"/>
                                <w14:textOutline w14:w="9525">
                                  <w14:round/>
                                </w14:textOutline>
                              </w:rPr>
                              <w:t>MODE LIES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2.3pt;margin-top:40pt;height:22.55pt;width:82.4pt;z-index:251660288;mso-width-relative:page;mso-height-relative:page;" filled="f" stroked="t" coordsize="21600,21600" o:gfxdata="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kn9qd2wAAAAwB&#10;AAAPAAAAAAAAAAEAIAAAACIAAABkcnMvZG93bnJldi54bWxQSwECFAAUAAAACACHTuJAUqEBZsMC&#10;AAC9BQAADgAAAAAAAAABACAAAAAqAQAAZHJzL2Uyb0RvYy54bWxQSwUGAAAAAAYABgBZAQAAXwYA&#10;AAAA&#10;">
                <v:fill on="f" focussize="0,0"/>
                <v:stroke weight="2pt" color="#FF0000 [3205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-277" w:rightChars="-126" w:firstLine="0" w:firstLineChars="0"/>
                        <w:rPr>
                          <w:rFonts w:hint="default"/>
                          <w:color w:val="FF0000"/>
                          <w:sz w:val="20"/>
                          <w:szCs w:val="20"/>
                          <w:lang w:val="en-I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color w:val="FF0000"/>
                          <w:sz w:val="20"/>
                          <w:szCs w:val="20"/>
                          <w:lang w:val="en-IN"/>
                          <w14:textOutline w14:w="9525">
                            <w14:round/>
                          </w14:textOutline>
                        </w:rPr>
                        <w:t>MODE LIES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w:drawing>
          <wp:inline distT="0" distB="0" distL="0" distR="0">
            <wp:extent cx="5940425" cy="412305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BEBEBE">
                            <a:alpha val="100000"/>
                          </a:srgbClr>
                        </a:clrFrom>
                        <a:clrTo>
                          <a:srgbClr val="BEBEBE">
                            <a:alpha val="100000"/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>Answer the following three questions based on the histogram above.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ind w:left="1380" w:leftChars="0" w:firstLineChars="0"/>
        <w:rPr>
          <w:color w:val="auto"/>
        </w:rPr>
      </w:pPr>
      <w:r>
        <w:rPr>
          <w:color w:val="auto"/>
        </w:rPr>
        <w:t>Where would the mode of this dataset lie?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ind w:left="1380" w:leftChars="0" w:firstLineChars="0"/>
        <w:rPr>
          <w:color w:val="FF0000"/>
        </w:rPr>
      </w:pPr>
      <w:r>
        <w:rPr>
          <w:color w:val="auto"/>
        </w:rPr>
        <w:t>Comment on the skewness of the dataset.</w:t>
      </w:r>
      <w:r>
        <w:rPr>
          <w:color w:val="auto"/>
        </w:rPr>
        <w:tab/>
      </w:r>
      <w:r>
        <w:rPr>
          <w:rFonts w:hint="default"/>
          <w:color w:val="auto"/>
          <w:lang w:val="en-IN"/>
        </w:rPr>
        <w:t xml:space="preserve"> 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color w:val="FF0000"/>
        </w:rPr>
      </w:pPr>
      <w:r>
        <w:rPr>
          <w:rFonts w:hint="default"/>
          <w:color w:val="FF0000"/>
          <w:lang w:val="en-IN"/>
        </w:rPr>
        <w:t>RIGHT SKEWED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ind w:left="1380" w:leftChars="0" w:firstLineChars="0"/>
        <w:rPr>
          <w:color w:val="auto"/>
        </w:rPr>
      </w:pPr>
      <w:r>
        <w:rPr>
          <w:color w:val="auto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660" w:leftChars="0"/>
        <w:rPr>
          <w:rFonts w:hint="default"/>
          <w:color w:val="FF0000"/>
          <w:lang w:val="en-IN"/>
        </w:rPr>
      </w:pPr>
      <w:r>
        <w:rPr>
          <w:rFonts w:hint="default"/>
          <w:color w:val="auto"/>
          <w:lang w:val="en-IN"/>
        </w:rPr>
        <w:tab/>
      </w:r>
      <w:r>
        <w:rPr>
          <w:rFonts w:hint="default"/>
          <w:color w:val="FF0000"/>
          <w:lang w:val="en-IN"/>
        </w:rPr>
        <w:tab/>
        <w:t>25 IS THE OUTLIER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color w:val="auto"/>
        </w:rPr>
      </w:pPr>
    </w:p>
    <w:p>
      <w:pPr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rFonts w:cs="BaskervilleBE-Regular"/>
          <w:color w:val="auto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cs="BaskervilleBE-Regular"/>
          <w:color w:val="auto"/>
        </w:rPr>
      </w:pP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cs="BaskervilleBE-Regular"/>
          <w:color w:val="auto"/>
        </w:rPr>
      </w:pPr>
      <w:bookmarkStart w:id="0" w:name="_GoBack"/>
      <w:bookmarkEnd w:id="0"/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DON’T KNOW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color w:val="auto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color w:val="auto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>Returns on a certain business venture, to the nearest $1,000, are known to follow the following probability distribution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-2,000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-1,000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1000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2000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3000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</w:tr>
    </w:tbl>
    <w:p>
      <w:pPr>
        <w:pStyle w:val="9"/>
        <w:autoSpaceDE w:val="0"/>
        <w:autoSpaceDN w:val="0"/>
        <w:adjustRightInd w:val="0"/>
        <w:spacing w:after="0"/>
        <w:rPr>
          <w:color w:val="auto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color w:val="auto"/>
        </w:rPr>
      </w:pPr>
      <w:r>
        <w:rPr>
          <w:color w:val="auto"/>
        </w:rPr>
        <w:t>What is the most likely monetary outcome of the business venture?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FF0000"/>
        </w:rPr>
        <w:t>$</w:t>
      </w:r>
      <w:r>
        <w:rPr>
          <w:rFonts w:hint="default"/>
          <w:color w:val="FF0000"/>
          <w:lang w:val="en-US"/>
        </w:rPr>
        <w:t>2000 MORE PROBABILITY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color w:val="auto"/>
        </w:rPr>
      </w:pPr>
      <w:r>
        <w:rPr>
          <w:color w:val="auto"/>
        </w:rPr>
        <w:t>Is the venture likely to be successful? Explain</w:t>
      </w:r>
      <w:r>
        <w:rPr>
          <w:rFonts w:hint="default"/>
          <w:color w:val="auto"/>
          <w:lang w:val="en-US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720" w:leftChars="0"/>
        <w:textAlignment w:val="auto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FF0000"/>
          <w:lang w:val="en-US"/>
        </w:rPr>
        <w:t>AS THE LONG TERM AVERAGE EARNING IS +</w:t>
      </w:r>
      <w:r>
        <w:rPr>
          <w:color w:val="FF0000"/>
        </w:rPr>
        <w:t>$</w:t>
      </w:r>
      <w:r>
        <w:rPr>
          <w:rFonts w:hint="default"/>
          <w:color w:val="FF0000"/>
          <w:lang w:val="en-US"/>
        </w:rPr>
        <w:t>800, THE VENTURE IS LIKELY TO BE SUCCESSFULL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color w:val="auto"/>
        </w:rPr>
      </w:pPr>
      <w:r>
        <w:rPr>
          <w:color w:val="auto"/>
        </w:rPr>
        <w:t>What is the long-term average earning of business ventures of this kind? Explain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720" w:left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FF0000"/>
          <w:lang w:val="en-US"/>
        </w:rPr>
        <w:t>E(X)= X . P(X)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216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-2000x0.1= -200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216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-1000x0.1= -100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216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0x0.2=0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216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1000x0.2= 200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216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2000x0.3= 600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216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3000x0.3= 300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216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-200-100+0+200+600+300= </w:t>
      </w:r>
      <w:r>
        <w:rPr>
          <w:color w:val="FF0000"/>
        </w:rPr>
        <w:t>$</w:t>
      </w:r>
      <w:r>
        <w:rPr>
          <w:rFonts w:hint="default"/>
          <w:color w:val="FF0000"/>
          <w:lang w:val="en-US"/>
        </w:rPr>
        <w:t>800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hint="default"/>
          <w:color w:val="FF0000"/>
          <w:lang w:val="en-US"/>
        </w:rPr>
      </w:pP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  <w:t/>
      </w:r>
      <w:r>
        <w:rPr>
          <w:rFonts w:hint="default"/>
          <w:color w:val="FF0000"/>
          <w:lang w:val="en-US"/>
        </w:rPr>
        <w:tab/>
        <w:t/>
      </w:r>
      <w:r>
        <w:rPr>
          <w:rFonts w:hint="default"/>
          <w:color w:val="FF0000"/>
          <w:lang w:val="en-US"/>
        </w:rPr>
        <w:tab/>
        <w:t xml:space="preserve">LONG TERM AVERAGE EARNING IS </w:t>
      </w:r>
      <w:r>
        <w:rPr>
          <w:color w:val="FF0000"/>
        </w:rPr>
        <w:t>$</w:t>
      </w:r>
      <w:r>
        <w:rPr>
          <w:rFonts w:hint="default"/>
          <w:color w:val="FF0000"/>
          <w:lang w:val="en-US"/>
        </w:rPr>
        <w:t>800</w:t>
      </w: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hint="default"/>
          <w:color w:val="auto"/>
          <w:lang w:val="en-US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color w:val="auto"/>
        </w:rPr>
      </w:pPr>
      <w:r>
        <w:rPr>
          <w:color w:val="auto"/>
        </w:rPr>
        <w:t>What is the good measure of the risk involved in a venture of this kind? Compute this measure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E(X²) = X² . P(X)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-2000       0.1                    400000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-1000        0.1                      100000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0                0.2                      0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1000         0.2                  200000      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2000        0.3                  1200000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3000        0.1                 900000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                                      2800000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(X) = E(X²)  - { E(X) }²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=   2800000 -   800²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= 2160000  ( Quite High)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SD = √Var  ≈ $ 1470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left="1440" w:leftChars="0" w:firstLine="720" w:firstLineChars="0"/>
        <w:textAlignment w:val="auto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HIGH RISK DUE TO HIGH VARIANCE</w:t>
      </w:r>
    </w:p>
    <w:sectPr>
      <w:footerReference r:id="rId5" w:type="default"/>
      <w:pgSz w:w="12240" w:h="15840"/>
      <w:pgMar w:top="720" w:right="720" w:bottom="720" w:left="72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00" w:hanging="72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0E0583"/>
    <w:multiLevelType w:val="singleLevel"/>
    <w:tmpl w:val="6E0E0583"/>
    <w:lvl w:ilvl="0" w:tentative="0">
      <w:start w:val="1"/>
      <w:numFmt w:val="low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0A02680B"/>
    <w:rsid w:val="1A8A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5"/>
    <w:uiPriority w:val="99"/>
    <w:rPr>
      <w:rFonts w:eastAsiaTheme="minorEastAsia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23</TotalTime>
  <ScaleCrop>false</ScaleCrop>
  <LinksUpToDate>false</LinksUpToDate>
  <CharactersWithSpaces>2389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apurv</cp:lastModifiedBy>
  <dcterms:modified xsi:type="dcterms:W3CDTF">2022-05-07T07:08:35Z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222E8EB8CF744DAFA78E2FA9781D97F9</vt:lpwstr>
  </property>
</Properties>
</file>