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42" w:rsidRDefault="00901142"/>
    <w:p w:rsidR="007A0D41" w:rsidRDefault="007A0D41"/>
    <w:p w:rsidR="007A0D41" w:rsidRDefault="007A0D41"/>
    <w:p w:rsidR="007A0D41" w:rsidRDefault="007A0D41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396"/>
        <w:gridCol w:w="745"/>
        <w:gridCol w:w="745"/>
        <w:gridCol w:w="4829"/>
      </w:tblGrid>
      <w:tr w:rsidR="007A0D41" w:rsidTr="008F52B9">
        <w:tc>
          <w:tcPr>
            <w:tcW w:w="3396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Model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DV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IV</w:t>
            </w:r>
          </w:p>
        </w:tc>
        <w:tc>
          <w:tcPr>
            <w:tcW w:w="4829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Interpretation</w:t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Level-level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376550" cy="182880"/>
                  <wp:effectExtent l="0" t="0" r="0" b="7620"/>
                  <wp:docPr id="5" name="Picture 5" descr="http://www.cazaar.com/_/rsrc/1446671436460/ta/econ113/interpreting-beta/lev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azaar.com/_/rsrc/1446671436460/ta/econ113/interpreting-beta/lev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5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“If you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one,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to change by 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β1"</w:t>
            </w:r>
          </w:p>
          <w:p w:rsidR="007A0D41" w:rsidRPr="007A0D41" w:rsidRDefault="007A0D41" w:rsidP="007A0D41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Δy</w:t>
            </w:r>
            <w:proofErr w:type="spellEnd"/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=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β</w:t>
            </w:r>
            <w:r w:rsidRPr="008F52B9">
              <w:rPr>
                <w:rFonts w:ascii="Cambria" w:hAnsi="Cambria"/>
                <w:color w:val="000000"/>
                <w:sz w:val="24"/>
                <w:shd w:val="clear" w:color="auto" w:fill="FFFFFF"/>
                <w:vertAlign w:val="subscript"/>
              </w:rPr>
              <w:t>1</w:t>
            </w:r>
            <w:r w:rsidRPr="008F52B9">
              <w:rPr>
                <w:rFonts w:ascii="Cambria" w:hAnsi="Cambria"/>
                <w:color w:val="000000"/>
                <w:sz w:val="24"/>
                <w:shd w:val="clear" w:color="auto" w:fill="FFFFFF"/>
                <w:vertAlign w:val="subscript"/>
              </w:rPr>
              <w:t xml:space="preserve"> </w:t>
            </w:r>
            <w:r w:rsidR="008F52B9"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Δx</w:t>
            </w:r>
            <w:proofErr w:type="spellEnd"/>
            <w:r w:rsidRPr="007A0D41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 xml:space="preserve">   </w:t>
            </w:r>
            <w:r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Log-Level Regression</w:t>
            </w:r>
          </w:p>
          <w:p w:rsidR="007A0D41" w:rsidRP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83663" cy="182880"/>
                  <wp:effectExtent l="0" t="0" r="0" b="7620"/>
                  <wp:docPr id="2" name="Picture 2" descr="http://www.cazaar.com/_/rsrc/1446671436460/ta/econ113/interpreting-beta/log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azaar.com/_/rsrc/1446671436460/ta/econ113/interpreting-beta/log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63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7A0D41" w:rsidRPr="008F52B9" w:rsidRDefault="008F52B9" w:rsidP="007A0D41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“I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f we change </w:t>
            </w:r>
            <w:r w:rsidRPr="008F52B9">
              <w:rPr>
                <w:rFonts w:ascii="Cambria" w:hAnsi="Cambria"/>
                <w:color w:val="000000"/>
                <w:sz w:val="24"/>
              </w:rPr>
              <w:t>x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by 1 (unit), we’d expect our </w:t>
            </w:r>
            <w:r w:rsidR="007A0D41" w:rsidRPr="008F52B9">
              <w:rPr>
                <w:rFonts w:ascii="Cambria" w:hAnsi="Cambria"/>
                <w:i/>
                <w:color w:val="000000"/>
                <w:sz w:val="24"/>
              </w:rPr>
              <w:t>y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 xml:space="preserve"> variable to change by 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100</w:t>
            </w:r>
            <w:r w:rsidR="007A0D41" w:rsidRPr="008F52B9">
              <w:rPr>
                <w:rFonts w:ascii="Cambria" w:hAnsi="Cambria"/>
                <w:color w:val="000000"/>
                <w:sz w:val="20"/>
              </w:rPr>
              <w:t>⋅β1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percent”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>
              <w:rPr>
                <w:rFonts w:ascii="Cambria" w:hAnsi="Cambria"/>
                <w:color w:val="000000"/>
                <w:sz w:val="17"/>
                <w:szCs w:val="17"/>
                <w:shd w:val="clear" w:color="auto" w:fill="FFFFFF"/>
              </w:rPr>
              <w:t>Δ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 = 100 ⋅ β</w:t>
            </w:r>
            <w:r w:rsidRPr="008F52B9">
              <w:rPr>
                <w:rFonts w:ascii="Cambria" w:hAnsi="Cambria"/>
                <w:color w:val="000000"/>
                <w:shd w:val="clear" w:color="auto" w:fill="FFFFFF"/>
                <w:vertAlign w:val="subscript"/>
              </w:rPr>
              <w:t>1</w:t>
            </w:r>
            <w:r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 w:cs="Arial"/>
                <w:color w:val="000000"/>
              </w:rPr>
              <w:t>Δx</w:t>
            </w:r>
            <w:r>
              <w:rPr>
                <w:rFonts w:ascii="Arial" w:hAnsi="Arial" w:cs="Arial"/>
                <w:color w:val="000000"/>
              </w:rPr>
              <w:t> </w:t>
            </w:r>
          </w:p>
          <w:p w:rsidR="007A0D41" w:rsidRDefault="007A0D41" w:rsidP="007A0D41">
            <w:pPr>
              <w:jc w:val="center"/>
            </w:pP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</w:pPr>
          </w:p>
          <w:p w:rsid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Level-Log Regression</w:t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723741" cy="182880"/>
                  <wp:effectExtent l="0" t="0" r="0" b="7620"/>
                  <wp:docPr id="3" name="Picture 3" descr="http://www.cazaar.com/_/rsrc/1446671436460/ta/econ113/interpreting-beta/lev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azaar.com/_/rsrc/1446671436460/ta/econ113/interpreting-beta/lev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741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"If we increase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 xml:space="preserve">we expect </w:t>
            </w:r>
            <w:r w:rsidR="008F52B9"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to increase by (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β1/100)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units of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."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=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proofErr w:type="gram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(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β</w:t>
            </w:r>
            <w:proofErr w:type="gram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1/100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)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⋅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7"/>
                <w:u w:val="single"/>
              </w:rPr>
              <w:t>Log-Log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16057" cy="182880"/>
                  <wp:effectExtent l="0" t="0" r="3810" b="7620"/>
                  <wp:docPr id="4" name="Picture 4" descr="http://www.cazaar.com/_/rsrc/1446671436460/ta/econ113/interpreting-beta/log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azaar.com/_/rsrc/1446671436460/ta/econ113/interpreting-beta/log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57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f we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to change by 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percent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(i.e., an elasticity).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”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 w:rsidR="008F52B9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Δ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=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β1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proofErr w:type="gram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⋅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proofErr w:type="gram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8F52B9" w:rsidRDefault="008F52B9" w:rsidP="007A0D41">
            <w:pPr>
              <w:jc w:val="center"/>
            </w:pPr>
          </w:p>
        </w:tc>
      </w:tr>
    </w:tbl>
    <w:p w:rsidR="007A0D41" w:rsidRPr="008F52B9" w:rsidRDefault="008F52B9" w:rsidP="008F52B9">
      <w:pPr>
        <w:jc w:val="center"/>
        <w:rPr>
          <w:color w:val="A6A6A6" w:themeColor="background1" w:themeShade="A6"/>
          <w:sz w:val="16"/>
        </w:rPr>
      </w:pPr>
      <w:r w:rsidRPr="008F52B9">
        <w:rPr>
          <w:color w:val="A6A6A6" w:themeColor="background1" w:themeShade="A6"/>
          <w:sz w:val="16"/>
        </w:rPr>
        <w:t>*Table borrowed shamelessly from: http://www.cazaar.com/ta/econ113/interpreting-beta</w:t>
      </w:r>
    </w:p>
    <w:p w:rsidR="008F52B9" w:rsidRDefault="008F52B9"/>
    <w:p w:rsidR="00C67B14" w:rsidRDefault="00C67B14"/>
    <w:p w:rsidR="00C67B14" w:rsidRDefault="00C67B14">
      <w:r>
        <w:br w:type="page"/>
      </w:r>
    </w:p>
    <w:p w:rsidR="00C67B14" w:rsidRDefault="00C67B14">
      <w:r>
        <w:lastRenderedPageBreak/>
        <w:t>Net worth after inheritance with compounding ROI of 10% annually.</w:t>
      </w:r>
    </w:p>
    <w:tbl>
      <w:tblPr>
        <w:tblW w:w="5050" w:type="dxa"/>
        <w:tblLook w:val="04A0" w:firstRow="1" w:lastRow="0" w:firstColumn="1" w:lastColumn="0" w:noHBand="0" w:noVBand="1"/>
      </w:tblPr>
      <w:tblGrid>
        <w:gridCol w:w="960"/>
        <w:gridCol w:w="2190"/>
        <w:gridCol w:w="1900"/>
      </w:tblGrid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Arial" w:hAnsi="Arial" w:cs="Arial"/>
                <w:b/>
                <w:bCs/>
                <w:smallCaps/>
                <w:color w:val="000000"/>
              </w:rPr>
            </w:pPr>
            <w:r w:rsidRPr="00C67B14">
              <w:rPr>
                <w:rFonts w:ascii="Arial" w:hAnsi="Arial" w:cs="Arial"/>
                <w:b/>
                <w:bCs/>
                <w:smallCaps/>
                <w:color w:val="000000"/>
              </w:rPr>
              <w:t>Age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Arial" w:hAnsi="Arial" w:cs="Arial"/>
                <w:b/>
                <w:bCs/>
                <w:smallCaps/>
                <w:color w:val="000000"/>
              </w:rPr>
            </w:pPr>
            <w:r w:rsidRPr="00C67B14">
              <w:rPr>
                <w:rFonts w:ascii="Arial" w:hAnsi="Arial" w:cs="Arial"/>
                <w:b/>
                <w:bCs/>
                <w:smallCaps/>
                <w:color w:val="000000"/>
              </w:rPr>
              <w:t>Average American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Arial" w:hAnsi="Arial" w:cs="Arial"/>
                <w:b/>
                <w:bCs/>
                <w:smallCaps/>
                <w:color w:val="000000"/>
              </w:rPr>
            </w:pPr>
            <w:r w:rsidRPr="00C67B14">
              <w:rPr>
                <w:rFonts w:ascii="Arial" w:hAnsi="Arial" w:cs="Arial"/>
                <w:b/>
                <w:bCs/>
                <w:smallCaps/>
                <w:color w:val="000000"/>
              </w:rPr>
              <w:t>Trump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$73,750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$200,000,000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$81,125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$220,000,000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$89,238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$242,000,000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34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$98,161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$266,200,000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$107,977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$292,820,000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36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$118,775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$322,102,000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$130,653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$354,312,200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38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$143,718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$389,743,420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$158,090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$428,717,762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40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$173,899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$471,589,538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$191,289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$518,748,492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$210,417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$570,623,341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$231,459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$627,685,675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44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$254,605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$690,454,243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$280,066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$759,499,667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46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$308,072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$835,449,634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$338,879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$918,994,597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48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$372,767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$1,010,894,057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$410,044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$1,111,983,463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50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$451,048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$1,223,181,809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$496,153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$1,345,499,990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$545,768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$1,480,049,989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$600,345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$1,628,054,988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54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$660,380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$1,790,860,487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$726,418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$1,969,946,535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56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$799,060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$2,166,941,189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$878,966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$2,383,635,308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58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$966,862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$2,621,998,838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$1,063,548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$2,884,198,722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60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$1,169,903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$3,172,618,594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$1,286,893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$3,489,880,454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$1,415,583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$3,838,868,499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$1,557,141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$4,222,755,349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64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$1,712,855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$4,645,030,884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$1,884,141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$5,109,533,972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66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$2,072,555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$5,620,487,370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$2,279,810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$6,182,536,107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68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$2,507,791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$6,800,789,717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$2,758,570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$7,480,868,689</w:t>
            </w:r>
          </w:p>
        </w:tc>
      </w:tr>
      <w:tr w:rsidR="00C67B14" w:rsidRPr="00C67B14" w:rsidTr="00C67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70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$3,034,427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14" w:rsidRPr="00C67B14" w:rsidRDefault="00C67B14" w:rsidP="00C67B14">
            <w:pPr>
              <w:spacing w:after="0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67B14">
              <w:rPr>
                <w:rFonts w:ascii="Calibri" w:hAnsi="Calibri" w:cs="Calibri"/>
                <w:color w:val="000000"/>
                <w:sz w:val="18"/>
              </w:rPr>
              <w:t>$8,228,955,558</w:t>
            </w:r>
          </w:p>
        </w:tc>
      </w:tr>
    </w:tbl>
    <w:p w:rsidR="000A05D5" w:rsidRPr="000A05D5" w:rsidRDefault="000A05D5" w:rsidP="000A05D5">
      <w:r>
        <w:lastRenderedPageBreak/>
        <w:t>Population of the 100 Largest US Cities in 1900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Source:  U.S. Bureau of the Census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Internet Release date:  June 15, 1998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Rank | Place 1/                          | Population || Rank | Place                             | Population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1   New York city, NY *................  3,437,202      51   Wilmington city, DE................     76,508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2   Chicago city, IL...................  1,698,575      52   Camden city, NJ....................     75,935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3   Philadelphia city, PA..............  1,293,697      53   Trenton city, NJ...................     73,307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4   St. Louis city, MO.................    575,238      54   Bridgeport city, CT................     70,996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5   Boston city, MA....................    560,892      55   Lynn city, MA......................     68,513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6   Baltimore city, MD.................    508,957      56   Oakland city, CA...................     66,960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7   Cleveland city, OH.................    381,768      57   Lawrence city, MA..................     62,559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8   Buffalo city, NY...................    352,387      58   New Bedford city, MA...............     62,442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9   San Francisco city, CA.............    342,782      59   Des Moines city, IA................     62,139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10   Cincinnati city, OH................    325,902      60   Springfield city, MA...............     62,059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11   Pittsburgh city, PA *..............    321,616      61   Somerville city, MA................     61,643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12   New Orleans city, LA...............    287,104      62   Troy city, NY......................     60,651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13   Detroit city, MI...................    285,704      63   Hoboken city, NJ...................     59,364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14   Milwaukee city, WI.................    285,315      64   Evansville city, IN................     59,007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15   Washington city, DC................    278,718      65   Manchester city, NH................     56,987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16   Newark city, NJ....................    246,070      66   Utica city, NY.....................     56,383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17   Jersey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NJ...............    206,433      67   Peoria city, IL....................     56,100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18   Louisville city, KY................    204,731      68   Charleston city, SC................     55,807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19   Minneapolis city, MN...............    202,718      69   Savannah city GA...................     54,244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20   Providence city, RI................    175,597      70   Salt Lake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UT............     53,531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21   Indianapolis city, IN..............    169,164      71   San Antonio city, TX...............     53,321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22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MO...............    163,752      72   Duluth city, MN....................     52,969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23   St. Paul city, MN..................    163,065      73   Erie city, PA......................     52,733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24   Rochester city, NY.................    162,608      74   Elizabeth city, NJ.................     52,130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25   Denver city, CO....................    133,859      75   Wilkes-Barre city, PA..............     51,721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26   Toledo city, OH....................    131,822      76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KS...............     51,418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27   Allegheny city, PA *...............    129,896      77   Harrisburg city, PA................     50,167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28   Columbus city, OH..................    125,560      78   Portland city, ME..................     50,145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29   Worcester city, MA.................    118,421      79   Yonkers city, NY...................     47,931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30   Syracuse city, NY..................    108,374      80   Norfolk city, VA...................     46,624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31   New Haven city, CT.................    108,027      81   Waterbury city, CT.................     45,859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32   Paterson city, NJ..................    105,171      82   Holyoke city, MA...................     45,712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33   Fall River city, MA................    104,863      83   Fort Wayne city, IN................     45,115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34   St. Joseph city, MO................    102,979      84   Youngstown city, OH................     44,885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35   Omaha city, NE.....................    102,555      85   Houston city, TX...................     44,633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36   Los Angeles city, CA...............    102,479      86   Covington city, KY.................     42,938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37   Memphis city, TN...................    102,320      87   Akron city, OH.....................     42,728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38   Scranton city, PA..................    102,026      88   Dallas city, TX....................     42,638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39   Lowell city, MA....................     94,969      89   Saginaw city, MI...................     42,345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40   Albany city, NY....................     94,151      90   Lancaster city, PA.................     41,459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41   Cambridge city, MA.................     91,886      91   Lincoln city, NE...................     40,169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42   Portland city, OR..................     90,426      92   Brockton city, MA..................     40,063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43   Atlanta city, GA...................     89,872      93   Binghamton city, NY................     39,647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44   Grand Rapids city, MI..............     87,565      94   Augusta city, GA...................     39,441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45   Dayton city, OH....................     85,333      95   Pawtucket city, RI.................     39,231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46   Richmond city, VA..................     85,050      96   Altoona city, PA...................     38,973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47   Nashville city, TN.................     80,865      97   Wheeling city, WV..................     38,878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48   Seattle city, WA...................     80,671      98   Mobile city, AL....................     38,469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49   Hartford city, CT..................     79,850      99   Birmingham city, AL................     38,415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50   Reading city, PA...................     78,961     100   Little Rock city, AR...............     38,307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---------------------------------------------------------------------------------------------------------------</w:t>
      </w:r>
    </w:p>
    <w:p w:rsidR="000A05D5" w:rsidRDefault="000A05D5"/>
    <w:p w:rsidR="000A05D5" w:rsidRDefault="000A05D5">
      <w:r>
        <w:t>The US population has been growing by approximately 1% a year.</w:t>
      </w:r>
      <w:r>
        <w:br/>
      </w:r>
    </w:p>
    <w:p w:rsidR="000A05D5" w:rsidRDefault="000A05D5">
      <w:r>
        <w:t xml:space="preserve">What is the predicted size of NYC in 2010? What about </w:t>
      </w:r>
      <w:r w:rsidR="006B654B">
        <w:t xml:space="preserve">Milwaukee, WI? </w:t>
      </w:r>
      <w:bookmarkStart w:id="0" w:name="_GoBack"/>
      <w:bookmarkEnd w:id="0"/>
    </w:p>
    <w:sectPr w:rsidR="000A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41"/>
    <w:rsid w:val="000A05D5"/>
    <w:rsid w:val="003C45AD"/>
    <w:rsid w:val="006B654B"/>
    <w:rsid w:val="007A0D41"/>
    <w:rsid w:val="008F52B9"/>
    <w:rsid w:val="00901142"/>
    <w:rsid w:val="00C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770"/>
  <w15:chartTrackingRefBased/>
  <w15:docId w15:val="{65651A85-803A-4E44-9894-2FF8C297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D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jdlecy</cp:lastModifiedBy>
  <cp:revision>2</cp:revision>
  <dcterms:created xsi:type="dcterms:W3CDTF">2017-04-19T02:45:00Z</dcterms:created>
  <dcterms:modified xsi:type="dcterms:W3CDTF">2017-04-19T14:36:00Z</dcterms:modified>
</cp:coreProperties>
</file>