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EchoSensei: Migration &amp; Handoff Guide</w:t>
      </w:r>
    </w:p>
    <w:p>
      <w:r>
        <w:rPr>
          <w:b/>
        </w:rPr>
        <w:t xml:space="preserve">Conversation ID (Antigravity): </w:t>
      </w:r>
      <w:r>
        <w:t>6e645dc5-9d0c-4e0a-9ef3-9ea31b4add2c</w:t>
      </w:r>
    </w:p>
    <w:p>
      <w:pPr>
        <w:pStyle w:val="Heading1"/>
      </w:pPr>
      <w:r>
        <w:t>1. UI &amp; Visual Identity</w:t>
      </w:r>
    </w:p>
    <w:p>
      <w:r>
        <w:t>The interface has been redesigned to follow a "Vibrant Cyber-Clinical" aesthetic. Key design tokens include:</w:t>
      </w:r>
    </w:p>
    <w:p>
      <w:pPr>
        <w:pStyle w:val="ListBullet"/>
      </w:pPr>
      <w:r>
        <w:t>Main UI: Colorful drifting orbs in Blue and Pink shades over a deep dark indigo background (#080a16).</w:t>
      </w:r>
    </w:p>
    <w:p>
      <w:pPr>
        <w:pStyle w:val="ListBullet"/>
      </w:pPr>
      <w:r>
        <w:t>Loading Page: Pure Black (#000000) with a canvas-based EKG heartbeat loader.</w:t>
      </w:r>
    </w:p>
    <w:p>
      <w:pPr>
        <w:pStyle w:val="ListBullet"/>
      </w:pPr>
      <w:r>
        <w:t>Layout: Top Navbar with tabbed navigation (Dashboard, Sensei AI, Timeline, About).</w:t>
      </w:r>
    </w:p>
    <w:p>
      <w:pPr>
        <w:pStyle w:val="ListBullet"/>
      </w:pPr>
      <w:r>
        <w:t>Typography: Outfit (Headers) and Inter (Body) for high-end legibility.</w:t>
      </w:r>
    </w:p>
    <w:p>
      <w:pPr>
        <w:pStyle w:val="Heading1"/>
      </w:pPr>
      <w:r>
        <w:t>2. Core System Features</w:t>
      </w:r>
    </w:p>
    <w:p>
      <w:pPr>
        <w:pStyle w:val="ListBullet"/>
      </w:pPr>
      <w:r>
        <w:t>Multilingual Voice ASR: Integrated MediaRecorder and IndicConformer for high-accuracy speech-to-text (Hindi, Tamil, Kannada, English).</w:t>
      </w:r>
    </w:p>
    <w:p>
      <w:pPr>
        <w:pStyle w:val="ListBullet"/>
      </w:pPr>
      <w:r>
        <w:t>Sensei LLM Pipeline: Single-pass clinical extraction (Akinator-style) with follow-up reasoning.</w:t>
      </w:r>
    </w:p>
    <w:p>
      <w:pPr>
        <w:pStyle w:val="ListBullet"/>
      </w:pPr>
      <w:r>
        <w:t>AI Translation Layer: Automatically generates English translations in real-time for non-English AI responses (displayed in brackets).</w:t>
      </w:r>
    </w:p>
    <w:p>
      <w:pPr>
        <w:pStyle w:val="ListBullet"/>
      </w:pPr>
      <w:r>
        <w:t>Sensei Voice (TTS): Integrated Web Speech API for audible AI responses in a "Sensei" persona (Deep, David/Daniel voice types).</w:t>
      </w:r>
    </w:p>
    <w:p>
      <w:pPr>
        <w:pStyle w:val="ListBullet"/>
      </w:pPr>
      <w:r>
        <w:t>Medical Reporting: On-the-fly entity extraction into a clinical report grid with PDF export.</w:t>
      </w:r>
    </w:p>
    <w:p>
      <w:pPr>
        <w:pStyle w:val="Heading1"/>
      </w:pPr>
      <w:r>
        <w:t>3. Migration Instructions</w:t>
      </w:r>
    </w:p>
    <w:p>
      <w:pPr>
        <w:pStyle w:val="Heading2"/>
      </w:pPr>
      <w:r>
        <w:t>Step 1: Code Migration</w:t>
      </w:r>
    </w:p>
    <w:p>
      <w:r>
        <w:t>The entire final codebase is packaged in: EchoSensei_Vibrant_Final.zip. Download and extract this folder into your new Antigravity / Gemini scratch directory.</w:t>
      </w:r>
    </w:p>
    <w:p>
      <w:pPr>
        <w:pStyle w:val="Heading2"/>
      </w:pPr>
      <w:r>
        <w:t>Step 2: Environment Setup</w:t>
      </w:r>
    </w:p>
    <w:p>
      <w:r>
        <w:t>Ensure the following dependencies are installed (run in terminal):</w:t>
      </w:r>
    </w:p>
    <w:p>
      <w:r>
        <w:rPr>
          <w:rFonts w:ascii="Courier New" w:hAnsi="Courier New"/>
          <w:sz w:val="20"/>
        </w:rPr>
        <w:t>pip install flask flask-cors deep-translator groq python-docx</w:t>
      </w:r>
    </w:p>
    <w:p>
      <w:pPr>
        <w:pStyle w:val="Heading2"/>
      </w:pPr>
      <w:r>
        <w:t>Step 3: Running the App</w:t>
      </w:r>
    </w:p>
    <w:p>
      <w:r>
        <w:t>Execute the server script to launch the local clinical environment:</w:t>
      </w:r>
    </w:p>
    <w:p>
      <w:r>
        <w:rPr>
          <w:rFonts w:ascii="Courier New" w:hAnsi="Courier New"/>
          <w:sz w:val="20"/>
        </w:rPr>
        <w:t>python server.py</w:t>
      </w:r>
    </w:p>
    <w:p>
      <w:r>
        <w:t>Then open http://localhost:5000 in your browser.</w:t>
      </w:r>
    </w:p>
    <w:p>
      <w:r>
        <w:br/>
      </w:r>
    </w:p>
    <w:p>
      <w:pPr>
        <w:jc w:val="right"/>
      </w:pPr>
      <w:r>
        <w:t>Handed over by Antigravity AI — Neural Medical Intelligence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