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Manual do Usuário: Módulo de Comunicados Automáticos</w:t>
      </w:r>
    </w:p>
    <w:p>
      <w:pPr>
        <w:pStyle w:val="Heading2"/>
        <w:spacing w:after="80"/>
        <w:jc w:val="center"/>
      </w:pPr>
      <w:r>
        <w:t xml:space="preserve">Guia Operacional para Comunicação &amp; Branding e Conexão Humana (DP/RH)</w:t>
      </w:r>
    </w:p>
    <w:p>
      <w:pPr>
        <w:spacing w:after="300"/>
        <w:jc w:val="center"/>
      </w:pPr>
      <w:r>
        <w:t xml:space="preserve">TechControl · Versão 1.0 · Setembro de 2026</w:t>
      </w:r>
      <w:r>
        <w:rPr>
          <w:i/>
          <w:iCs/>
          <w:color w:val="666666"/>
          <w:sz w:val="20"/>
          <w:szCs w:val="20"/>
        </w:rPr>
        <w:t xml:space="preserve">TechControl · Versão 1.0 · Setembro de 2026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Regra Fundamental: Participação Automática de Todos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No TechControl, TODOS os colaboradores ativos da empresa participam automaticamente do envio de comunicados especiais (aniversários, tempo de empresa, homenagens a cônjuges e 1º aninho dos filhos).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Não é necessário 'ativar' colaborador um por um. A partir do momento em que um novo colaborador é cadastrado como Ativo, o sistema já agenda todas as datas comemorativas dele de forma inteligente.</w:t>
      </w:r>
    </w:p>
    <w:p>
      <w:pPr>
        <w:pStyle w:val="Heading1"/>
        <w:spacing w:after="120" w:before="240"/>
      </w:pPr>
      <w:r>
        <w:t xml:space="preserve">2. Guia para a Equipe de Comunicação e Branding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A equipe de Comunicação e Branding é responsável pela identidade visual e pelos textos dos comunicados: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Como Acessar: No Portal do Colaborador, acesse o menu 'Comunicados &amp; Branding'.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Visão Mensal e Calendário: A tela exibe todas as datas comemorativas do mês organizadas em ordem cronológica.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Identificação de 'Precisa de Arte': Os eventos que ainda não possuem arte carregada aparecem destacados com um aviso amarelo e a etiqueta 'Precisa de Arte'.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Como Fazer o Upload da Arte: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1. Clique sobre o card do colaborador/evento.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2. Clique em 'Carregar Arte' e selecione a imagem em alta qualidade (PNG ou JPG).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3. O sistema atualiza o status na hora para 'Arte Pronta'.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Configuração de Assuntos e Modelos de E-mail: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- A equipe de Branding pode editar os assuntos padrão de cada tipo de comunicado (ex: 'Parabéns pelo seu dia, {nome}!' ou 'Comemorando {anos} anos de dedicação!').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- Essa configuração fica salva e é aplicada automaticamente nos envios diários.</w:t>
      </w:r>
    </w:p>
    <w:p>
      <w:pPr>
        <w:pStyle w:val="Heading1"/>
        <w:spacing w:after="120" w:before="240"/>
      </w:pPr>
      <w:r>
        <w:t xml:space="preserve">3. Guia para a Equipe de Conexão Humana (DP / RH / DHO)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A equipe de Conexão Humana é a guardiã dos dados dos colaboradores. Para que os comunicados funcionem com perfeição, os dados precisam estar sempre completos e atualizados.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Visão do Calendário Mensal: Conexão Humana possui acesso à mesma visão mensal de datas, permitindo apoiar Branding e acompanhar todos os aniversariantes do mês.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Gestão Cadastral Completa: Conexão Humana cadastra novos colaboradores, atualiza cargos, áreas, data de admissão e informações familiares (cônjuge e filhos).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Painel de Auditoria de Dados Incompletos (O que cada alerta significa):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- 'Colaborador sem data de nascimento': Impede o envio do comunicado de Aniversário.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- 'Colaborador sem data de admissão': Impede o cálculo e envio do comunicado de Tempo de Empresa.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- 'Cônjuge sem e-mail cadastrado': Impede o envio da homenagem ao cônjuge na data do aniversário dele.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- 'Filho sem data de nascimento': Impede a identificação do 1º aninho da criança.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Ação de Conexão Humana: Ao visualizar alertas de dados faltantes, basta clicar em 'Editar Cadastro' e preencher o dado que faltava.</w:t>
      </w:r>
    </w:p>
    <w:p>
      <w:pPr>
        <w:pStyle w:val="Heading1"/>
        <w:spacing w:after="120" w:before="240"/>
      </w:pPr>
      <w:r>
        <w:t xml:space="preserve">4. Gerenciamento de Exceções (Quem NÃO deve receber)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Embora todos os colaboradores participem por padrão, podem existir situações excepcionais (por exemplo, um colaborador que expressamente solicitou não ter seu aniversário divulgado por motivos pessoais ou religiosos).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Como Gerenciar: Acesse a aba 'Lista de Exceções'.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Ação: Para excluir um colaborador dos envios automáticos, selecione-o e marque como exceção.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 lista de exceções garante que o sistema respeite rigorosamente a vontade de cada pessoa sem afetar os demais.</w:t>
      </w:r>
    </w:p>
    <w:p>
      <w:pPr>
        <w:pStyle w:val="Heading1"/>
        <w:spacing w:after="120" w:before="240"/>
      </w:pPr>
      <w:r>
        <w:t xml:space="preserve">5. Privacidade e Segurança de Dados (Segregação de Papéis)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O sistema foi desenhado com estrito respeito à Lei Geral de Proteção de Dados (LGPD) e sigilo profissional: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Comunicação e Branding: Visualiza apenas as informações necessárias para produzir a homenagem (Nome do colaborador, data do evento, anos de empresa, nome do cônjuge/filho e foto). NÃO tem acesso a salários, senhas, documentos ou histórico contratual.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Conexão Humana: Possui a gestão administrativa completa do cadastro de RH.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Essa separação garante total segurança e transparência entre os setores da empresa.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Documento oficial do sistema TechControl · Uso interno e confidencial.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2026-09-15T13:02:20.389Z</dcterms:created>
  <dcterms:modified xsi:type="dcterms:W3CDTF">2026-09-15T13:02:20.389Z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