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0DD7F900" w:rsidR="00032F46" w:rsidRDefault="00855AE3">
      <w:r>
        <w:t>Version: DRAFT-2</w:t>
      </w:r>
      <w:r w:rsidR="004A1DD8">
        <w:t>0170119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370405C9"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63D9F579" w:rsidR="00654EBE" w:rsidRDefault="00654EBE" w:rsidP="00654EBE">
      <w:r>
        <w:t xml:space="preserve">To understand this,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7847BC76"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 as a result of the various effects of those portions</w:t>
      </w:r>
      <w:r w:rsidR="0061390A">
        <w:t xml:space="preserve"> themselves</w:t>
      </w:r>
      <w:r>
        <w:t xml:space="preserve"> being discarded or ignored</w:t>
      </w:r>
      <w:r w:rsidR="0061390A">
        <w:t xml:space="preserve">; higher level </w:t>
      </w:r>
      <w:r>
        <w:t xml:space="preserve">optimizations </w:t>
      </w:r>
      <w:r w:rsidR="0061390A">
        <w:t xml:space="preserve">target the </w:t>
      </w:r>
      <w:r>
        <w:t>eliminat</w:t>
      </w:r>
      <w:r w:rsidR="0061390A">
        <w:t>ion</w:t>
      </w:r>
      <w:r>
        <w:t xml:space="preserve"> of entire aspects of carefully defined behavioral contracts.</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10F840F0"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1EDFF767"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0D12B5F1"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438AAA1B" w:rsidR="00426D7F" w:rsidRDefault="00A128EA" w:rsidP="00426D7F">
      <w:r>
        <w:t xml:space="preserve">Secondly, </w:t>
      </w:r>
      <w:r w:rsidR="00AC26E8">
        <w:t>the</w:t>
      </w:r>
      <w:r>
        <w:t xml:space="preserve"> separation of interface and implementation </w:t>
      </w:r>
      <w:r w:rsidR="00AC26E8">
        <w:t xml:space="preserve">in the XVM </w:t>
      </w:r>
      <w:r>
        <w:t xml:space="preserve">means that the implementation of the resource is not visible </w:t>
      </w:r>
      <w:r w:rsidR="00426D7F">
        <w:t xml:space="preserve">within the container </w:t>
      </w:r>
      <w:r>
        <w:t>into which it is injected</w:t>
      </w:r>
      <w:r w:rsidR="00426D7F">
        <w:t>.</w:t>
      </w:r>
      <w:r w:rsidR="00AC26E8">
        <w:t xml:space="preserve"> </w:t>
      </w:r>
      <w:r>
        <w:t>While this pre-introduces a</w:t>
      </w:r>
      <w:r w:rsidR="00F27A2A">
        <w:t xml:space="preserve"> number of language</w:t>
      </w:r>
      <w:r>
        <w:t xml:space="preserve"> </w:t>
      </w:r>
      <w:r w:rsidR="00F27A2A">
        <w:t xml:space="preserve">and runtime </w:t>
      </w:r>
      <w:r>
        <w:t>concept</w:t>
      </w:r>
      <w:r w:rsidR="00F27A2A">
        <w:t>s</w:t>
      </w:r>
      <w:r>
        <w:t xml:space="preserve">, </w:t>
      </w:r>
      <w:r w:rsidR="00426D7F">
        <w:t xml:space="preserve">the container implementation 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t>
      </w:r>
      <w:r w:rsidR="00AC26E8">
        <w:t xml:space="preserve">furthermore the </w:t>
      </w:r>
      <w:r w:rsidR="00426D7F">
        <w:t xml:space="preserve">injected resources </w:t>
      </w:r>
      <w:r w:rsidR="00AC26E8">
        <w:t xml:space="preserve">are </w:t>
      </w:r>
      <w:r w:rsidR="00426D7F">
        <w:t xml:space="preserve">either immutable objects or </w:t>
      </w:r>
      <w:r w:rsidR="00F27A2A">
        <w:t>explicitly</w:t>
      </w:r>
      <w:r w:rsidR="00426D7F">
        <w:t xml:space="preserve"> </w:t>
      </w:r>
      <w:r w:rsidR="00F27A2A">
        <w:t>thread-safe</w:t>
      </w:r>
      <w:r w:rsidR="00426D7F">
        <w:t xml:space="preserve"> </w:t>
      </w:r>
      <w:r w:rsidR="00AC26E8">
        <w:t xml:space="preserve">and independent </w:t>
      </w:r>
      <w:r w:rsidR="00426D7F">
        <w:t>service</w:t>
      </w:r>
      <w:r w:rsidR="00AC26E8">
        <w:t>s.</w:t>
      </w:r>
    </w:p>
    <w:p w14:paraId="7FC1FE69" w14:textId="20559CD1" w:rsidR="005E47E7" w:rsidRDefault="005E47E7" w:rsidP="00426D7F">
      <w:r>
        <w:t>Third, th</w:t>
      </w:r>
      <w:r w:rsidR="00AC26E8">
        <w:t xml:space="preserve">is design precludes the </w:t>
      </w:r>
      <w:r>
        <w:t>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447787A" w14:textId="439F2940" w:rsidR="00AC26E8" w:rsidRDefault="00AC26E8" w:rsidP="00AC26E8">
      <w:r>
        <w:t>Lastly, as has been described already, the functionality that is injected is completely within the control of the injector, allowing the requested functionality to be constrained in any manner that the injector sees 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4E4AC895"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704DA2C4"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 xml:space="preserve">immutable data, and precisely because it is immutable, the memory can be garbage collected without any coordinated halt of execution, by </w:t>
      </w:r>
      <w:r w:rsidR="00534C9D">
        <w:t xml:space="preserve">use of an individual service-local mark phase, followed by a copy-compact phase (which can be performed by any thread, including a dedicated daemon thread), followed by </w:t>
      </w:r>
      <w:r w:rsidR="00BD2C14">
        <w:t xml:space="preserve">memory </w:t>
      </w:r>
      <w:r w:rsidR="00534C9D">
        <w:t xml:space="preserve">block </w:t>
      </w:r>
      <w:r w:rsidR="00BD2C14">
        <w:t xml:space="preserve">release </w:t>
      </w:r>
      <w:r w:rsidR="00534C9D">
        <w:t>(</w:t>
      </w:r>
      <w:r w:rsidR="00BD2C14">
        <w:t xml:space="preserve">which is </w:t>
      </w:r>
      <w:r w:rsidR="00534C9D">
        <w:t xml:space="preserve">performed by the next iteration of the service-local mark phase). Furthermore, the escaped immutable data can be organized within the container </w:t>
      </w:r>
      <w:r w:rsidR="00697042">
        <w:t>hierarchy at the level</w:t>
      </w:r>
      <w:r w:rsidR="00534C9D">
        <w:t xml:space="preserve"> to which the data has escaped, or </w:t>
      </w:r>
      <w:r w:rsidR="00BD2C14">
        <w:t xml:space="preserve">alternatively </w:t>
      </w:r>
      <w:r w:rsidR="00534C9D">
        <w:t>can be managed in a single global immutable store.</w:t>
      </w:r>
      <w:r w:rsidR="008F5C52">
        <w:t xml:space="preserve"> </w:t>
      </w:r>
      <w:r w:rsidR="001D2570">
        <w:t xml:space="preserve">In the case of </w:t>
      </w:r>
      <w:r w:rsidR="008F5C52">
        <w:t xml:space="preserve">containers and services, </w:t>
      </w:r>
      <w:r w:rsidR="00356FE0">
        <w:t xml:space="preserve">each </w:t>
      </w:r>
      <w:r w:rsidR="001D2570">
        <w:t xml:space="preserve">mark </w:t>
      </w:r>
      <w:r w:rsidR="00356FE0">
        <w:t>phase of each reachable service also marks any services that it in turn can reach, again without any coordinated halt of execution, ultimately creating a cascade of marks whose omissions identify unreachable services</w:t>
      </w:r>
      <w:r w:rsidR="001D2570">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47941126" w14:textId="0A829B03"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32BF01E9"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5"/>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4C21511"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occurs: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30D88D7A" w:rsidR="00A93032" w:rsidRDefault="008063B9" w:rsidP="00742460">
      <w:r>
        <w:t xml:space="preserve">While strict and complete immutability of an entire object is a desirable capability of the language runtime, there are two </w:t>
      </w:r>
      <w:r w:rsidR="00B068BA">
        <w:t>additional and related</w:t>
      </w:r>
      <w:r w:rsidR="00A93032">
        <w:t xml:space="preserve"> </w:t>
      </w:r>
      <w:r w:rsidR="00B068BA">
        <w:t xml:space="preserve">XVM </w:t>
      </w:r>
      <w:r w:rsidR="00A93032">
        <w:t xml:space="preserve">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t>
      </w:r>
      <w:r w:rsidR="00B068BA">
        <w:t>the</w:t>
      </w:r>
      <w:r w:rsidR="00A93032">
        <w:t xml:space="preserve"> result</w:t>
      </w:r>
      <w:r w:rsidR="00A92786">
        <w:t xml:space="preserve"> </w:t>
      </w:r>
      <w:r w:rsidR="00B068BA">
        <w:t>of,</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6"/>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79CB989F" w14:textId="77777777" w:rsidR="005137F8" w:rsidRPr="001B096C" w:rsidRDefault="005137F8" w:rsidP="005137F8">
      <w:pPr>
        <w:spacing w:after="0"/>
        <w:ind w:left="720"/>
      </w:pPr>
    </w:p>
    <w:p w14:paraId="6260D15D" w14:textId="77777777" w:rsidR="001B096C" w:rsidRDefault="001B096C" w:rsidP="001B096C">
      <w:pPr>
        <w:spacing w:after="0"/>
        <w:ind w:left="720"/>
        <w:rPr>
          <w:i/>
        </w:rPr>
      </w:pPr>
    </w:p>
    <w:p w14:paraId="066EF661" w14:textId="77777777" w:rsidR="00093C60" w:rsidRDefault="00093C60" w:rsidP="00A759AA">
      <w:pPr>
        <w:spacing w:after="0"/>
        <w:ind w:left="720"/>
        <w:rPr>
          <w:i/>
        </w:rPr>
      </w:pPr>
    </w:p>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7"/>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8"/>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9"/>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w:t>
      </w:r>
      <w:bookmarkStart w:id="0" w:name="_GoBack"/>
      <w:r>
        <w:t xml:space="preserve">of deployment </w:t>
      </w:r>
      <w:r w:rsidR="00D7548B">
        <w:t xml:space="preserve">and the unit of versioning </w:t>
      </w:r>
      <w:r>
        <w:t>is always the module.</w:t>
      </w:r>
    </w:p>
    <w:bookmarkEnd w:id="0"/>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0"/>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1B68CB6E" w14:textId="0D65EA6C" w:rsidR="00D512D0" w:rsidRDefault="00D512D0" w:rsidP="00D512D0">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5D0FFEAD"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5577F9" w:rsidRDefault="005577F9" w:rsidP="00032F46">
      <w:pPr>
        <w:spacing w:after="0" w:line="240" w:lineRule="auto"/>
      </w:pPr>
      <w:r>
        <w:separator/>
      </w:r>
    </w:p>
  </w:endnote>
  <w:endnote w:type="continuationSeparator" w:id="0">
    <w:p w14:paraId="6116C886" w14:textId="77777777" w:rsidR="005577F9" w:rsidRDefault="005577F9"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5577F9" w:rsidRDefault="005577F9"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D54C0D">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5577F9" w:rsidRDefault="005577F9" w:rsidP="00032F46">
      <w:pPr>
        <w:spacing w:after="0" w:line="240" w:lineRule="auto"/>
      </w:pPr>
      <w:r>
        <w:separator/>
      </w:r>
    </w:p>
  </w:footnote>
  <w:footnote w:type="continuationSeparator" w:id="0">
    <w:p w14:paraId="27ADA4E5" w14:textId="77777777" w:rsidR="005577F9" w:rsidRDefault="005577F9" w:rsidP="00032F46">
      <w:pPr>
        <w:spacing w:after="0" w:line="240" w:lineRule="auto"/>
      </w:pPr>
      <w:r>
        <w:continuationSeparator/>
      </w:r>
    </w:p>
  </w:footnote>
  <w:footnote w:id="1">
    <w:p w14:paraId="22761637" w14:textId="0AED419E" w:rsidR="005577F9" w:rsidRDefault="005577F9">
      <w:pPr>
        <w:pStyle w:val="FootnoteText"/>
      </w:pPr>
      <w:r>
        <w:rPr>
          <w:rStyle w:val="FootnoteReference"/>
        </w:rPr>
        <w:footnoteRef/>
      </w:r>
      <w:r>
        <w:t xml:space="preserve"> XVM is an abbreviation for the XTC Virtual Machine</w:t>
      </w:r>
    </w:p>
  </w:footnote>
  <w:footnote w:id="2">
    <w:p w14:paraId="5F929FD8" w14:textId="65C2786C" w:rsidR="005577F9" w:rsidRDefault="005577F9">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5577F9" w:rsidRDefault="005577F9">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5577F9" w:rsidRDefault="005577F9"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97D704E" w14:textId="2D3D5EF3" w:rsidR="005577F9" w:rsidRDefault="005577F9">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6">
    <w:p w14:paraId="400D2DDE" w14:textId="62CF511B" w:rsidR="005577F9" w:rsidRDefault="005577F9">
      <w:pPr>
        <w:pStyle w:val="FootnoteText"/>
      </w:pPr>
      <w:r>
        <w:rPr>
          <w:rStyle w:val="FootnoteReference"/>
        </w:rPr>
        <w:footnoteRef/>
      </w:r>
      <w:r>
        <w:t xml:space="preserve"> XTC is an abbreviation for XVM Translatable Code, and is also known as “Ecstasy”</w:t>
      </w:r>
    </w:p>
  </w:footnote>
  <w:footnote w:id="7">
    <w:p w14:paraId="453BD461" w14:textId="25EA5538" w:rsidR="005577F9" w:rsidRDefault="005577F9">
      <w:pPr>
        <w:pStyle w:val="FootnoteText"/>
      </w:pPr>
      <w:r>
        <w:rPr>
          <w:rStyle w:val="FootnoteReference"/>
        </w:rPr>
        <w:footnoteRef/>
      </w:r>
      <w:r>
        <w:t xml:space="preserve"> From the book “Design Patterns: Elements of Reusable Object-Oriented Software”, GoF </w:t>
      </w:r>
      <w:r w:rsidRPr="001C15BA">
        <w:rPr>
          <w:i/>
        </w:rPr>
        <w:t>et al</w:t>
      </w:r>
    </w:p>
  </w:footnote>
  <w:footnote w:id="8">
    <w:p w14:paraId="2695E8A5" w14:textId="77777777" w:rsidR="005577F9" w:rsidRDefault="005577F9" w:rsidP="006A44E4">
      <w:pPr>
        <w:pStyle w:val="FootnoteText"/>
      </w:pPr>
      <w:r>
        <w:rPr>
          <w:rStyle w:val="FootnoteReference"/>
        </w:rPr>
        <w:footnoteRef/>
      </w:r>
      <w:r>
        <w:t xml:space="preserve"> From the book “The Pragmatic Programmer”, by Andy Hunt and Dave Thomas</w:t>
      </w:r>
    </w:p>
  </w:footnote>
  <w:footnote w:id="9">
    <w:p w14:paraId="626931D4" w14:textId="649B342A" w:rsidR="005577F9" w:rsidRDefault="005577F9">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0">
    <w:p w14:paraId="5BA7E791" w14:textId="1DA88F49" w:rsidR="005577F9" w:rsidRDefault="005577F9">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8E0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F271C"/>
    <w:rsid w:val="0012738C"/>
    <w:rsid w:val="00131543"/>
    <w:rsid w:val="001327B4"/>
    <w:rsid w:val="001403FA"/>
    <w:rsid w:val="001422A8"/>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5E9B"/>
    <w:rsid w:val="001F6881"/>
    <w:rsid w:val="00203195"/>
    <w:rsid w:val="00203FE3"/>
    <w:rsid w:val="0021373F"/>
    <w:rsid w:val="00217016"/>
    <w:rsid w:val="002354E3"/>
    <w:rsid w:val="00236239"/>
    <w:rsid w:val="00256523"/>
    <w:rsid w:val="00275AA5"/>
    <w:rsid w:val="00284239"/>
    <w:rsid w:val="0028439C"/>
    <w:rsid w:val="002A752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90AA4"/>
    <w:rsid w:val="00397BA3"/>
    <w:rsid w:val="003B1A7B"/>
    <w:rsid w:val="003B2915"/>
    <w:rsid w:val="003B31E7"/>
    <w:rsid w:val="003C2B19"/>
    <w:rsid w:val="003C4F4B"/>
    <w:rsid w:val="003E101A"/>
    <w:rsid w:val="003F2CD5"/>
    <w:rsid w:val="003F3408"/>
    <w:rsid w:val="003F6EE9"/>
    <w:rsid w:val="003F77A8"/>
    <w:rsid w:val="00411BD1"/>
    <w:rsid w:val="004137AC"/>
    <w:rsid w:val="004178F0"/>
    <w:rsid w:val="00426D7F"/>
    <w:rsid w:val="00432F1D"/>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7C88"/>
    <w:rsid w:val="00752824"/>
    <w:rsid w:val="00762F6C"/>
    <w:rsid w:val="007642E3"/>
    <w:rsid w:val="00776757"/>
    <w:rsid w:val="007776AD"/>
    <w:rsid w:val="00794F3D"/>
    <w:rsid w:val="00795A18"/>
    <w:rsid w:val="007A1CDD"/>
    <w:rsid w:val="007D2338"/>
    <w:rsid w:val="007D33D4"/>
    <w:rsid w:val="007F4192"/>
    <w:rsid w:val="007F5F17"/>
    <w:rsid w:val="008055A5"/>
    <w:rsid w:val="008063B9"/>
    <w:rsid w:val="00820DCC"/>
    <w:rsid w:val="00822004"/>
    <w:rsid w:val="00822793"/>
    <w:rsid w:val="0082497C"/>
    <w:rsid w:val="00825292"/>
    <w:rsid w:val="00825BF0"/>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79AA"/>
    <w:rsid w:val="00A82A66"/>
    <w:rsid w:val="00A92786"/>
    <w:rsid w:val="00A93032"/>
    <w:rsid w:val="00A95F34"/>
    <w:rsid w:val="00AA08AB"/>
    <w:rsid w:val="00AB009A"/>
    <w:rsid w:val="00AC26E8"/>
    <w:rsid w:val="00AD028B"/>
    <w:rsid w:val="00AD442B"/>
    <w:rsid w:val="00AE7FDC"/>
    <w:rsid w:val="00B02706"/>
    <w:rsid w:val="00B068BA"/>
    <w:rsid w:val="00B114AC"/>
    <w:rsid w:val="00B24664"/>
    <w:rsid w:val="00B339E5"/>
    <w:rsid w:val="00B349C2"/>
    <w:rsid w:val="00B36151"/>
    <w:rsid w:val="00B36CC7"/>
    <w:rsid w:val="00B43D7F"/>
    <w:rsid w:val="00B52553"/>
    <w:rsid w:val="00B56750"/>
    <w:rsid w:val="00B64979"/>
    <w:rsid w:val="00B701E7"/>
    <w:rsid w:val="00B7167E"/>
    <w:rsid w:val="00B825BF"/>
    <w:rsid w:val="00B84312"/>
    <w:rsid w:val="00B86411"/>
    <w:rsid w:val="00B91B52"/>
    <w:rsid w:val="00BA085A"/>
    <w:rsid w:val="00BB3E18"/>
    <w:rsid w:val="00BB548C"/>
    <w:rsid w:val="00BB7A94"/>
    <w:rsid w:val="00BC4FF2"/>
    <w:rsid w:val="00BD2C14"/>
    <w:rsid w:val="00BD3ECC"/>
    <w:rsid w:val="00BD6342"/>
    <w:rsid w:val="00BE3905"/>
    <w:rsid w:val="00BE3FE8"/>
    <w:rsid w:val="00BF484B"/>
    <w:rsid w:val="00C10742"/>
    <w:rsid w:val="00C122EB"/>
    <w:rsid w:val="00C22326"/>
    <w:rsid w:val="00C2249D"/>
    <w:rsid w:val="00C25BED"/>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65915"/>
    <w:rsid w:val="00E71FFE"/>
    <w:rsid w:val="00E82BEE"/>
    <w:rsid w:val="00E95EFE"/>
    <w:rsid w:val="00EB255D"/>
    <w:rsid w:val="00ED5A88"/>
    <w:rsid w:val="00ED7C17"/>
    <w:rsid w:val="00EE10F7"/>
    <w:rsid w:val="00EE1FB1"/>
    <w:rsid w:val="00EE5BB0"/>
    <w:rsid w:val="00EE5D7E"/>
    <w:rsid w:val="00EF032A"/>
    <w:rsid w:val="00EF0A6B"/>
    <w:rsid w:val="00F13448"/>
    <w:rsid w:val="00F15FA2"/>
    <w:rsid w:val="00F25016"/>
    <w:rsid w:val="00F264F7"/>
    <w:rsid w:val="00F27A2A"/>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AEAC3-81DA-6A4D-A483-29329127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14580</TotalTime>
  <Pages>46</Pages>
  <Words>17276</Words>
  <Characters>96401</Characters>
  <Application>Microsoft Macintosh Word</Application>
  <DocSecurity>0</DocSecurity>
  <Lines>1785</Lines>
  <Paragraphs>519</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31</cp:revision>
  <cp:lastPrinted>2016-07-16T02:35:00Z</cp:lastPrinted>
  <dcterms:created xsi:type="dcterms:W3CDTF">2009-11-20T17:28:00Z</dcterms:created>
  <dcterms:modified xsi:type="dcterms:W3CDTF">2017-01-26T20:44:00Z</dcterms:modified>
</cp:coreProperties>
</file>