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Solutions — Q1 2026 All-Hands Memo</w:t>
      </w:r>
    </w:p>
    <w:p>
      <w:r>
        <w:rPr>
          <w:b/>
        </w:rPr>
        <w:t xml:space="preserve">From: </w:t>
      </w:r>
      <w:r>
        <w:t>CEO Office (ceo@novatech.io)</w:t>
        <w:br/>
      </w:r>
      <w:r>
        <w:rPr>
          <w:b/>
        </w:rPr>
        <w:t xml:space="preserve">Date: </w:t>
      </w:r>
      <w:r>
        <w:t>March 15, 2026</w:t>
        <w:br/>
      </w:r>
      <w:r>
        <w:rPr>
          <w:b/>
        </w:rPr>
        <w:t xml:space="preserve">Classification: </w:t>
      </w:r>
      <w:r>
        <w:t>Internal</w:t>
      </w:r>
    </w:p>
    <w:p>
      <w:pPr>
        <w:pStyle w:val="Heading1"/>
      </w:pPr>
      <w:r>
        <w:t>Company Highlights</w:t>
      </w:r>
    </w:p>
    <w:p>
      <w:r>
        <w:t>Q1 revenue exceeded plan by 8%. Customer NPS reached 62.</w:t>
      </w:r>
    </w:p>
    <w:p>
      <w:pPr>
        <w:pStyle w:val="Heading1"/>
      </w:pPr>
      <w:r>
        <w:t>Reminders</w:t>
      </w:r>
    </w:p>
    <w:p>
      <w:pPr>
        <w:pStyle w:val="ListBullet"/>
      </w:pPr>
      <w:r>
        <w:t>Complete annual Code of Conduct training by March 31.</w:t>
      </w:r>
    </w:p>
    <w:p>
      <w:pPr>
        <w:pStyle w:val="ListBullet"/>
      </w:pPr>
      <w:r>
        <w:t>Ethics Hotline: 1-800-555-0199 (anonymous).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